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rPr>
          <w:rFonts w:ascii="Times New Roman" w:hAnsi="Times New Roman"/>
          <w:b w:val="1"/>
          <w:bCs w:val="1"/>
          <w:sz w:val="36"/>
          <w:szCs w:val="36"/>
        </w:rPr>
      </w:pPr>
      <w: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line">
              <wp:posOffset>0</wp:posOffset>
            </wp:positionV>
            <wp:extent cx="2981843" cy="1161103"/>
            <wp:effectExtent l="0" t="0" r="0" b="0"/>
            <wp:wrapSquare wrapText="bothSides" distL="57150" distR="57150" distT="57150" distB="57150"/>
            <wp:docPr id="1073741825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2" descr="Picture 2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843" cy="11611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ПРОГРАММА ПРОВЕДЕНИЯ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соревнований по компетенции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«Металловедение»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Чемпионата 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ff0000"/>
          <w:sz w:val="24"/>
          <w:szCs w:val="24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по профессиональному мастерству «Профессионалы»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Регион проведения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10460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4140"/>
        <w:gridCol w:w="6320"/>
      </w:tblGrid>
      <w:tr>
        <w:tblPrEx>
          <w:shd w:val="clear" w:color="auto" w:fill="d0ddef"/>
        </w:tblPrEx>
        <w:trPr>
          <w:trHeight w:val="405" w:hRule="atLeast"/>
        </w:trPr>
        <w:tc>
          <w:tcPr>
            <w:tcW w:type="dxa" w:w="104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3c93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Общая информация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41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Период проведения</w:t>
            </w:r>
          </w:p>
        </w:tc>
        <w:tc>
          <w:tcPr>
            <w:tcW w:type="dxa" w:w="63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41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Место проведения и адрес площадки</w:t>
            </w:r>
          </w:p>
        </w:tc>
        <w:tc>
          <w:tcPr>
            <w:tcW w:type="dxa" w:w="63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330" w:hRule="atLeast"/>
        </w:trPr>
        <w:tc>
          <w:tcPr>
            <w:tcW w:type="dxa" w:w="41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ФИО Главного эксперта</w:t>
            </w:r>
          </w:p>
        </w:tc>
        <w:tc>
          <w:tcPr>
            <w:tcW w:type="dxa" w:w="63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Федосеев Сергей Николаевич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41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Контакты Главного эксперта</w:t>
            </w:r>
          </w:p>
        </w:tc>
        <w:tc>
          <w:tcPr>
            <w:tcW w:type="dxa" w:w="63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8 (953) 853-41-89</w:t>
            </w:r>
          </w:p>
        </w:tc>
      </w:tr>
    </w:tbl>
    <w:p>
      <w:pPr>
        <w:pStyle w:val="Normal.0"/>
        <w:widowControl w:val="0"/>
        <w:spacing w:after="0" w:line="240" w:lineRule="auto"/>
        <w:ind w:left="108" w:hanging="108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widowControl w:val="0"/>
        <w:spacing w:after="0" w:line="2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tbl>
      <w:tblPr>
        <w:tblW w:w="1034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817"/>
        <w:gridCol w:w="8525"/>
      </w:tblGrid>
      <w:tr>
        <w:tblPrEx>
          <w:shd w:val="clear" w:color="auto" w:fill="d0ddef"/>
        </w:tblPrEx>
        <w:trPr>
          <w:trHeight w:val="365" w:hRule="atLeast"/>
        </w:trPr>
        <w:tc>
          <w:tcPr>
            <w:tcW w:type="dxa" w:w="1034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3c93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Д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-2 /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10:00-11:00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Прием конкурсной площадки ГЭ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11:00-11:30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Регистрация экспертов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Инструктаж экспертной группы по ОТ и ТБ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11:30-12:30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 Обучение экспертов</w:t>
            </w:r>
          </w:p>
        </w:tc>
      </w:tr>
      <w:tr>
        <w:tblPrEx>
          <w:shd w:val="clear" w:color="auto" w:fill="d0ddef"/>
        </w:tblPrEx>
        <w:trPr>
          <w:trHeight w:val="90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12:30-13:00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Согласование критериев оценки и конкурсных заданий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Внесение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30%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изменений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Согласование с менеджером компетенции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Блокировка схемы оценок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13:00-13:30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Распределение ролей и подписание протоколов</w:t>
            </w:r>
          </w:p>
        </w:tc>
      </w:tr>
      <w:tr>
        <w:tblPrEx>
          <w:shd w:val="clear" w:color="auto" w:fill="d0ddef"/>
        </w:tblPrEx>
        <w:trPr>
          <w:trHeight w:val="343" w:hRule="atLeast"/>
        </w:trPr>
        <w:tc>
          <w:tcPr>
            <w:tcW w:type="dxa" w:w="1034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3c93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Д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-1 /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09:00-10:30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Регистрация конкурсантов и экспертов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Сверка документов участников по возрасту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жеребьевка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подписание протоколов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10:30-11:00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Инструктаж по ОТ и ТБ экспертов и конкурсантов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11:00-15:00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 Знакомство участников с площадкой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оборудованием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рабочими местами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подписание протоколов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360" w:hRule="atLeast"/>
        </w:trPr>
        <w:tc>
          <w:tcPr>
            <w:tcW w:type="dxa" w:w="1034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3c93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Д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1 /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09:00-09:30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Регистрация участников и экспертов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Инструктаж участников и экспертов по ОТ и ТБ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09:30-1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:30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Выполнение КЗ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модуль А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4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 часа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5b9b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13:30-14:30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5b9b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Обед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14:30-16:30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Выполнение КЗ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модуль Б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2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часа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16:30-1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Сдача конкурсной документации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Работа экспертов по оценке КЗ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Внесение оценок в ЦСО</w:t>
            </w:r>
          </w:p>
        </w:tc>
      </w:tr>
      <w:tr>
        <w:tblPrEx>
          <w:shd w:val="clear" w:color="auto" w:fill="d0ddef"/>
        </w:tblPrEx>
        <w:trPr>
          <w:trHeight w:val="360" w:hRule="atLeast"/>
        </w:trPr>
        <w:tc>
          <w:tcPr>
            <w:tcW w:type="dxa" w:w="1034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3c93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Д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2 /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09:00-09:30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Регистрация участников и экспертов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Инструктаж участников и экспертов по ОТ и ТБ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09:30-1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:30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Выполнение КЗ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модуль В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3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 часа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5b9bd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:30-1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5b9b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Обед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Выполнение КЗ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модуль Г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3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 часа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16:30-1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Сдача конкурсной документации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Работа экспертов по оценке КЗ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Внесение оценок в ЦСО</w:t>
            </w:r>
          </w:p>
        </w:tc>
      </w:tr>
      <w:tr>
        <w:tblPrEx>
          <w:shd w:val="clear" w:color="auto" w:fill="d0ddef"/>
        </w:tblPrEx>
        <w:trPr>
          <w:trHeight w:val="360" w:hRule="atLeast"/>
        </w:trPr>
        <w:tc>
          <w:tcPr>
            <w:tcW w:type="dxa" w:w="10342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73c93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Д</w:t>
            </w: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ru-RU"/>
              </w:rPr>
              <w:t>3 /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09:00-09:30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imes New Roman" w:cs="Times New Roman" w:hAnsi="Times New Roman" w:eastAsia="Times New Roman"/>
                <w:sz w:val="24"/>
                <w:szCs w:val="24"/>
                <w:shd w:val="nil" w:color="auto" w:fill="auto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Регистрация участников и экспертов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.</w:t>
            </w: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Инструктаж участников и экспертов по ОТ и ТБ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09:30-11:30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Выполнение КЗ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модуль Д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2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часа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11:30-13.30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Выполнение КЗ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модуль Е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2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часа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5b9b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13:30-14:30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5b9bd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Обед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14:30-16:30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Выполнение КЗ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модуль Ж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2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часа</w:t>
            </w:r>
          </w:p>
        </w:tc>
      </w:tr>
      <w:tr>
        <w:tblPrEx>
          <w:shd w:val="clear" w:color="auto" w:fill="d0ddef"/>
        </w:tblPrEx>
        <w:trPr>
          <w:trHeight w:val="3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16:30-1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Сдача конкурсной документации</w:t>
            </w:r>
          </w:p>
        </w:tc>
      </w:tr>
      <w:tr>
        <w:tblPrEx>
          <w:shd w:val="clear" w:color="auto" w:fill="d0ddef"/>
        </w:tblPrEx>
        <w:trPr>
          <w:trHeight w:val="610" w:hRule="atLeast"/>
        </w:trPr>
        <w:tc>
          <w:tcPr>
            <w:tcW w:type="dxa" w:w="18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0-18:30</w:t>
            </w:r>
          </w:p>
        </w:tc>
        <w:tc>
          <w:tcPr>
            <w:tcW w:type="dxa" w:w="85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jc w:val="both"/>
            </w:pP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Работа экспертов по оценке КЗ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Внесение оценок в ЦСО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Подведение итогов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Блокировка оценок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4"/>
                <w:szCs w:val="24"/>
                <w:shd w:val="nil" w:color="auto" w:fill="auto"/>
                <w:rtl w:val="0"/>
                <w:lang w:val="ru-RU"/>
              </w:rPr>
              <w:t>Подписание итоговых протоколов</w:t>
            </w:r>
            <w:r>
              <w:rPr>
                <w:rFonts w:ascii="Times New Roman" w:hAnsi="Times New Roman"/>
                <w:sz w:val="24"/>
                <w:szCs w:val="24"/>
                <w:shd w:val="nil" w:color="auto" w:fill="auto"/>
                <w:rtl w:val="0"/>
                <w:lang w:val="ru-RU"/>
              </w:rPr>
              <w:t>.</w:t>
            </w:r>
          </w:p>
        </w:tc>
      </w:tr>
    </w:tbl>
    <w:p>
      <w:pPr>
        <w:pStyle w:val="Normal.0"/>
        <w:widowControl w:val="0"/>
        <w:spacing w:after="0" w:line="240" w:lineRule="auto"/>
        <w:ind w:left="108" w:hanging="108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0" w:h="16840" w:orient="portrait"/>
      <w:pgMar w:top="720" w:right="720" w:bottom="720" w:left="720" w:header="624" w:footer="170"/>
      <w:pgNumType w:start="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rPr/>
      <w:fldChar w:fldCharType="end" w:fldLock="0"/>
    </w:r>
  </w:p>
  <w:p>
    <w:pPr>
      <w:pStyle w:val="footer"/>
      <w:tabs>
        <w:tab w:val="clear" w:pos="4677"/>
        <w:tab w:val="clear" w:pos="9355"/>
      </w:tabs>
      <w:jc w:val="right"/>
    </w:pPr>
    <w:r>
      <w:rPr>
        <w:rFonts w:ascii="Times New Roman" w:hAnsi="Times New Roman"/>
        <w:caps w:val="1"/>
        <w:sz w:val="18"/>
        <w:szCs w:val="18"/>
      </w:rPr>
      <w:tab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64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0" dist="0" dir="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0" dist="0" dir="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0" dist="0" dir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0" dist="0" dir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0" dist="0" dir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