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5"/>
        <w:rPr/>
      </w:pPr>
      <w:r>
        <w:rPr/>
      </w:r>
    </w:p>
    <w:tbl>
      <w:tblPr>
        <w:tblStyle w:val="afff"/>
        <w:tblW w:w="96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4"/>
      </w:tblGrid>
      <w:tr>
        <w:trPr/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docPartObj>
                <w:docPartGallery w:val="Cover Pages"/>
                <w:docPartUnique w:val="true"/>
              </w:docPartObj>
              <w:id w:val="1822133813"/>
            </w:sdtPr>
            <w:sdtContent>
              <w:p>
                <w:pPr>
                  <w:pStyle w:val="15"/>
                  <w:widowControl w:val="false"/>
                  <w:suppressAutoHyphens w:val="true"/>
                  <w:spacing w:before="0" w:after="0"/>
                  <w:jc w:val="left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kern w:val="0"/>
                    <w:sz w:val="20"/>
                    <w:szCs w:val="20"/>
                    <w:lang w:val="ru-RU" w:eastAsia="ru-RU" w:bidi="ar-SA"/>
                  </w:rPr>
                  <w:t>Разработано экспертным сообществом компетенции «</w:t>
                </w:r>
                <w:r>
                  <w:rPr>
                    <w:rFonts w:eastAsia="Times New Roman"/>
                    <w:color w:val="000000"/>
                    <w:kern w:val="0"/>
                    <w:sz w:val="20"/>
                    <w:szCs w:val="20"/>
                    <w:lang w:val="ru-RU" w:eastAsia="ru-RU" w:bidi="ar-SA"/>
                  </w:rPr>
                  <w:t>Эксплуатация сельскохозяйственных машин</w:t>
                </w:r>
                <w:r>
                  <w:rPr>
                    <w:rFonts w:eastAsia="Times New Roman"/>
                    <w:kern w:val="0"/>
                    <w:sz w:val="20"/>
                    <w:szCs w:val="20"/>
                    <w:lang w:val="ru-RU" w:eastAsia="ru-RU" w:bidi="ar-SA"/>
                  </w:rPr>
                  <w:t>»</w:t>
                </w:r>
              </w:p>
              <w:p>
                <w:pPr>
                  <w:pStyle w:val="15"/>
                  <w:widowControl w:val="false"/>
                  <w:suppressAutoHyphens w:val="true"/>
                  <w:spacing w:before="0" w:after="0"/>
                  <w:jc w:val="left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ru-RU"/>
                  </w:rPr>
                </w:r>
              </w:p>
              <w:p>
                <w:pPr>
                  <w:pStyle w:val="15"/>
                  <w:widowControl w:val="false"/>
                  <w:suppressAutoHyphens w:val="true"/>
                  <w:spacing w:before="0" w:after="0"/>
                  <w:jc w:val="left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ru-RU"/>
                  </w:rPr>
                </w:r>
              </w:p>
              <w:p>
                <w:pPr>
                  <w:pStyle w:val="15"/>
                  <w:widowControl w:val="false"/>
                  <w:suppressAutoHyphens w:val="true"/>
                  <w:spacing w:before="0" w:after="0"/>
                  <w:jc w:val="left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kern w:val="0"/>
                    <w:sz w:val="20"/>
                    <w:szCs w:val="20"/>
                    <w:lang w:val="ru-RU" w:eastAsia="ru-RU" w:bidi="ar-SA"/>
                  </w:rPr>
                  <w:t>202</w:t>
                </w:r>
                <w:r>
                  <w:rPr>
                    <w:rFonts w:eastAsia="Times New Roman"/>
                    <w:kern w:val="0"/>
                    <w:sz w:val="20"/>
                    <w:szCs w:val="20"/>
                    <w:lang w:val="ru-RU" w:eastAsia="ru-RU" w:bidi="ar-SA"/>
                  </w:rPr>
                  <w:t>4</w:t>
                </w:r>
                <w:r>
                  <w:rPr>
                    <w:rFonts w:eastAsia="Times New Roman"/>
                    <w:kern w:val="0"/>
                    <w:sz w:val="20"/>
                    <w:szCs w:val="20"/>
                    <w:lang w:val="ru-RU" w:eastAsia="ru-RU" w:bidi="ar-SA"/>
                  </w:rPr>
                  <w:t>год</w:t>
                </w:r>
              </w:p>
            </w:sdtContent>
          </w:sdt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 w:val="false"/>
              <w:suppressAutoHyphens w:val="true"/>
              <w:spacing w:before="0"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УТВЕРЖДЕНО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Менеджер компетенции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«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Эксплуатация сельскохозяйственных машин</w:t>
            </w: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Лёвин Валерий Николаевич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                     </w:t>
            </w: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«_____» __________ 20___ год</w:t>
            </w:r>
          </w:p>
        </w:tc>
      </w:tr>
    </w:tbl>
    <w:p>
      <w:pPr>
        <w:pStyle w:val="15"/>
        <w:spacing w:before="0" w:after="0"/>
        <w:jc w:val="right"/>
        <w:rPr/>
      </w:pPr>
      <w:r>
        <w:rPr/>
      </w:r>
    </w:p>
    <w:p>
      <w:pPr>
        <w:pStyle w:val="15"/>
        <w:spacing w:before="0" w:after="0"/>
        <w:jc w:val="right"/>
        <w:rPr>
          <w:rFonts w:eastAsia="Arial Unicode MS"/>
          <w:sz w:val="72"/>
          <w:szCs w:val="72"/>
        </w:rPr>
      </w:pPr>
      <w:r>
        <w:rPr>
          <w:rFonts w:eastAsia="Arial Unicode MS"/>
          <w:sz w:val="72"/>
          <w:szCs w:val="72"/>
        </w:rPr>
      </w:r>
    </w:p>
    <w:p>
      <w:pPr>
        <w:pStyle w:val="15"/>
        <w:spacing w:before="0"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>
      <w:pPr>
        <w:pStyle w:val="15"/>
        <w:spacing w:before="0" w:after="0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56"/>
          <w:szCs w:val="56"/>
        </w:rPr>
        <w:t>«</w:t>
      </w:r>
      <w:r>
        <w:rPr>
          <w:rFonts w:eastAsia="Times New Roman"/>
          <w:color w:val="000000"/>
          <w:sz w:val="48"/>
          <w:szCs w:val="28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>
      <w:pPr>
        <w:pStyle w:val="15"/>
        <w:spacing w:before="0" w:after="0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72"/>
          <w:szCs w:val="72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jc w:val="center"/>
        <w:rPr>
          <w:lang w:bidi="en-US"/>
        </w:rPr>
      </w:pPr>
      <w:r>
        <w:rPr>
          <w:lang w:bidi="en-US"/>
        </w:rPr>
        <w:t>2024г.</w:t>
      </w:r>
    </w:p>
    <w:p>
      <w:pPr>
        <w:pStyle w:val="15"/>
        <w:spacing w:before="0" w:after="0"/>
        <w:jc w:val="center"/>
        <w:rPr>
          <w:lang w:bidi="en-US"/>
        </w:rPr>
      </w:pPr>
      <w:r>
        <w:rPr>
          <w:lang w:bidi="en-US"/>
        </w:rPr>
      </w:r>
    </w:p>
    <w:p>
      <w:pPr>
        <w:pStyle w:val="15"/>
        <w:spacing w:before="0" w:after="0"/>
        <w:jc w:val="center"/>
        <w:rPr>
          <w:lang w:bidi="en-US"/>
        </w:rPr>
      </w:pPr>
      <w:r>
        <w:rPr>
          <w:lang w:bidi="en-US"/>
        </w:rPr>
      </w:r>
    </w:p>
    <w:p>
      <w:pPr>
        <w:pStyle w:val="143"/>
        <w:shd w:val="clear" w:color="auto" w:fill="auto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 w:ascii="Times New Roman" w:hAnsi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>
      <w:pPr>
        <w:pStyle w:val="143"/>
        <w:shd w:val="clear" w:color="auto" w:fill="auto"/>
        <w:spacing w:lineRule="auto" w:line="276"/>
        <w:ind w:hanging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spacing w:lineRule="auto" w:line="276"/>
            <w:rPr>
              <w:rFonts w:ascii="Times New Roman" w:hAnsi="Times New Roman" w:eastAsia="" w:eastAsiaTheme="minorEastAsia"/>
              <w:bCs w:val="false"/>
              <w:sz w:val="22"/>
              <w:szCs w:val="22"/>
              <w:lang w:val="ru-RU" w:eastAsia="ru-RU"/>
            </w:rPr>
          </w:pPr>
          <w:r>
            <w:fldChar w:fldCharType="begin"/>
          </w:r>
          <w:r>
            <w:rPr>
              <w:webHidden/>
              <w:vanish w:val="false"/>
              <w:rFonts w:ascii="Times New Roman" w:hAnsi="Times New Roman"/>
            </w:rPr>
            <w:instrText> TOC \z \o "1-2" \u \h</w:instrText>
          </w:r>
          <w:r>
            <w:rPr>
              <w:webHidden/>
              <w:vanish w:val="false"/>
              <w:rFonts w:ascii="Times New Roman" w:hAnsi="Times New Roman"/>
            </w:rPr>
            <w:fldChar w:fldCharType="separate"/>
          </w:r>
          <w:hyperlink w:anchor="_Toc12442296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Fonts w:ascii="Times New Roman" w:hAnsi="Times New Roman"/>
                <w:vanish w:val="false"/>
              </w:rPr>
              <w:t>1. ОСНОВНЫЕ ТРЕБОВАНИЯ КОМПЕТЕНЦИИ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6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1.1. ОБЩИЕ СВЕДЕНИЯ О ТРЕБОВАНИЯХ КОМПЕТЕНЦИИ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67">
            <w:r>
              <w:rPr>
                <w:webHidden/>
                <w:vanish w:val="false"/>
              </w:rPr>
              <w:t>1.2. ПЕРЕЧЕНЬ ПРОФЕССИОНАЛЬНЫХ ЗАДАЧ СПЕЦИАЛИСТА ПО КОМПЕТЕНЦИИ «</w:t>
            </w:r>
            <w:r>
              <w:rPr>
                <w:color w:val="000000"/>
                <w:sz w:val="28"/>
                <w:szCs w:val="28"/>
              </w:rPr>
              <w:t>Эксплуатация сельскохозяйственных машин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_Toc124422967 \h</w:instrText>
            </w:r>
            <w:r>
              <w:rPr>
                <w:webHidden/>
              </w:rPr>
              <w:fldChar w:fldCharType="separate"/>
            </w:r>
            <w:r>
              <w:rPr/>
              <w:t>»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1.3. ТРЕБОВАНИЯ К СХЕМЕ ОЦЕНКИ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6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1.4. СПЕЦИФИКАЦИЯ ОЦЕНКИ КОМПЕТЕНЦИИ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7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_Toc124422970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1.5.2. Структура модулей конкурсного задания (инвариант/вариатив)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71">
            <w:r>
              <w:rPr>
                <w:webHidden/>
                <w:iCs/>
                <w:vanish w:val="false"/>
              </w:rPr>
              <w:t>2. СПЕЦИАЛЬНЫЕ ПРАВИЛА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_Toc124422971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7"/>
            <w:spacing w:lineRule="auto" w:line="276"/>
            <w:rPr>
              <w:rFonts w:eastAsia="" w:eastAsiaTheme="minorEastAsia"/>
              <w:szCs w:val="22"/>
            </w:rPr>
          </w:pPr>
          <w:hyperlink w:anchor="_Toc124422972">
            <w:r>
              <w:rPr>
                <w:webHidden/>
                <w:vanish w:val="false"/>
              </w:rPr>
              <w:t xml:space="preserve">2.1. </w:t>
            </w:r>
            <w:r>
              <w:rPr>
                <w:bCs/>
                <w:iCs/>
              </w:rPr>
              <w:t>Личный инструмент конкурсанта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_Toc124422972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spacing w:lineRule="auto" w:line="276"/>
            <w:rPr>
              <w:rFonts w:ascii="Times New Roman" w:hAnsi="Times New Roman" w:eastAsia="" w:eastAsiaTheme="minorEastAsia"/>
              <w:bCs w:val="false"/>
              <w:sz w:val="22"/>
              <w:szCs w:val="22"/>
              <w:lang w:val="ru-RU" w:eastAsia="ru-RU"/>
            </w:rPr>
          </w:pPr>
          <w:hyperlink w:anchor="_Toc124422973">
            <w:r>
              <w:rPr>
                <w:webHidden/>
                <w:rFonts w:ascii="Times New Roman" w:hAnsi="Times New Roman"/>
                <w:vanish w:val="false"/>
              </w:rPr>
              <w:t>3. Приложения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_Toc124422973 \h</w:instrText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>
              <w:rPr>
                <w:webHidden/>
              </w:rPr>
              <w:fldChar w:fldCharType="end"/>
            </w:r>
          </w:hyperlink>
          <w:r>
            <w:rPr>
              <w:sz w:val="22"/>
              <w:szCs w:val="22"/>
              <w:rFonts w:ascii="Times New Roman" w:hAnsi="Times New Roman"/>
              <w:lang w:val="ru-RU"/>
            </w:rPr>
            <w:fldChar w:fldCharType="end"/>
          </w:r>
        </w:p>
      </w:sdtContent>
    </w:sdt>
    <w:p>
      <w:pPr>
        <w:pStyle w:val="Bullet"/>
        <w:tabs>
          <w:tab w:val="clear" w:pos="360"/>
          <w:tab w:val="left" w:pos="142" w:leader="none"/>
          <w:tab w:val="right" w:pos="9639" w:leader="dot"/>
        </w:tabs>
        <w:spacing w:lineRule="auto" w:line="276"/>
        <w:ind w:left="0" w:hanging="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Bullet"/>
        <w:tabs>
          <w:tab w:val="clear" w:pos="360"/>
        </w:tabs>
        <w:spacing w:lineRule="auto" w:line="276"/>
        <w:ind w:left="0" w:firstLine="709"/>
        <w:jc w:val="both"/>
        <w:rPr>
          <w:rFonts w:ascii="Times New Roman" w:hAnsi="Times New Roman"/>
          <w:b/>
          <w:b/>
          <w:bCs/>
          <w:i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>
      <w:pPr>
        <w:pStyle w:val="Bullet"/>
        <w:tabs>
          <w:tab w:val="clear" w:pos="360"/>
        </w:tabs>
        <w:spacing w:lineRule="auto" w:line="276"/>
        <w:ind w:left="0"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15"/>
        <w:spacing w:before="0" w:after="0"/>
        <w:jc w:val="both"/>
        <w:rPr>
          <w:b/>
          <w:b/>
          <w:bCs/>
        </w:rPr>
      </w:pPr>
      <w:r>
        <w:rPr>
          <w:b/>
          <w:bCs/>
        </w:rPr>
      </w:r>
      <w:bookmarkStart w:id="0" w:name="_Toc450204622"/>
      <w:bookmarkStart w:id="1" w:name="_Toc450204622"/>
      <w:bookmarkEnd w:id="1"/>
      <w:r>
        <w:br w:type="page"/>
      </w:r>
    </w:p>
    <w:p>
      <w:pPr>
        <w:pStyle w:val="18"/>
        <w:spacing w:lineRule="auto" w:line="276" w:before="240"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2"/>
    </w:p>
    <w:p>
      <w:pPr>
        <w:pStyle w:val="28"/>
        <w:spacing w:lineRule="auto" w:line="276"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4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>
      <w:pPr>
        <w:pStyle w:val="2"/>
        <w:spacing w:lineRule="auto" w:line="276" w:before="240" w:after="0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124422967"/>
      <w:bookmarkStart w:id="6" w:name="_Toc78885652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6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>
      <w:pPr>
        <w:pStyle w:val="15"/>
        <w:spacing w:before="0" w:after="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>
      <w:pPr>
        <w:pStyle w:val="15"/>
        <w:spacing w:before="0" w:after="0"/>
        <w:jc w:val="righ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>
      <w:pPr>
        <w:pStyle w:val="15"/>
        <w:spacing w:before="0" w:after="0"/>
        <w:jc w:val="righ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15"/>
        <w:spacing w:before="0" w:after="0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>
      <w:pPr>
        <w:pStyle w:val="15"/>
        <w:spacing w:before="0" w:after="0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637"/>
        <w:gridCol w:w="6810"/>
        <w:gridCol w:w="2192"/>
      </w:tblGrid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b/>
                <w:b/>
                <w:color w:val="FFFFFF"/>
              </w:rPr>
            </w:pPr>
            <w:r>
              <w:rPr>
                <w:b/>
                <w:color w:val="FFFFFF"/>
              </w:rPr>
              <w:t xml:space="preserve">№ </w:t>
            </w:r>
            <w:r>
              <w:rPr>
                <w:b/>
                <w:color w:val="FFFFFF"/>
              </w:rPr>
              <w:t>п/п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>
                <w:b/>
                <w:b/>
                <w:color w:val="FFFFFF"/>
                <w:highlight w:val="green"/>
              </w:rPr>
            </w:pPr>
            <w:r>
              <w:rPr>
                <w:b/>
                <w:color w:val="FFFFFF"/>
              </w:rPr>
              <w:t>Раздел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>
                <w:b/>
                <w:b/>
                <w:color w:val="FFFFFF"/>
              </w:rPr>
            </w:pPr>
            <w:r>
              <w:rPr>
                <w:b/>
                <w:color w:val="FFFFFF"/>
              </w:rPr>
              <w:t>Важность в %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>
                <w:lang w:val="en-US"/>
              </w:rPr>
              <w:t>1</w:t>
            </w:r>
            <w:r>
              <w:rPr/>
              <w:t>5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Лучшие процедуры для защиты здоровья и безопасности в рабочей среде.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Использование средств индивидуальной защиты, используемых механиком.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Диапазон и использование веществ, материалов и оборудования, используемых на рабочем месте.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Безопасное и устойчивое использование и удаление веществ и материалов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Причины и предотвращение всех рисков, связанных с требуемыми задачами.</w:t>
            </w:r>
          </w:p>
          <w:p>
            <w:pPr>
              <w:pStyle w:val="15"/>
              <w:widowControl w:val="false"/>
              <w:spacing w:lineRule="auto" w:line="240" w:before="0" w:after="200"/>
              <w:rPr/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Важность упорядоченного рабочего пространства для 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Постоянно и внимательно следить за лучшими методами защиты здоровья и безопасности в рабочей среде.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Использовать соответствующие средства индивидуальной защиты: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защитную обувь и защиту глаз с боковыми щитками,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защиту ушей, респираторную защиту и любые защитные перчатки или механические перчатки, если необходимо.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Выбирать и обрабатывать соответствующие вещества, материалы и оборудование, а также в соответствии с инструкциями изготовителя.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Утилизировать вещества и материалы безопасно и постоянно.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Предсказывать и устранять все риски, связанные с выполняемой деятельностью.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Подготавливать и поддерживать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12</w:t>
            </w:r>
          </w:p>
        </w:tc>
      </w:tr>
      <w:tr>
        <w:trPr>
          <w:trHeight w:val="375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Как организовать и принять соответствующие решения относительно обслуживания или ремонта.</w:t>
            </w:r>
          </w:p>
          <w:p>
            <w:pPr>
              <w:pStyle w:val="15"/>
              <w:widowControl w:val="false"/>
              <w:spacing w:lineRule="auto" w:line="240"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Методы, наиболее подходящие для выполнения каждой задачи.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Организовать и принять соответствующие решения относительно обслуживания или ремонта.</w:t>
            </w:r>
          </w:p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Использовать методы, наиболее подходящие для выполнения каждой задачи.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820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rPr>
          <w:trHeight w:val="1647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Цель и использование диапазона технической информации в бумажных и электронных форматах.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Как читать, интерпретировать и извлекать техническую информацию из всех выбранных источников.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Как применить техническую информацию к задаче.</w:t>
            </w:r>
          </w:p>
          <w:p>
            <w:pPr>
              <w:pStyle w:val="15"/>
              <w:widowControl w:val="false"/>
              <w:spacing w:lineRule="auto" w:line="240"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Как точно использовать технический язык, связанный с этой задачей.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Выбирать соответствующие источники технической информации, применимые к задаче.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Читать, интерпретировать и извлекать техническую информацию из выбранных источников.</w:t>
            </w:r>
          </w:p>
          <w:p>
            <w:pPr>
              <w:pStyle w:val="15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Применять техническую информацию к задаче.</w:t>
            </w:r>
          </w:p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Интерпретировать и точно использовать технический язык, связанный с задачей.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823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4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rFonts w:eastAsia="Calibri"/>
                <w:b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rPr>
          <w:trHeight w:val="810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Типы диагностических и точных измерительных инструментов в метрических единицах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Цели, правильное обращение и использование типов диагностических и точных измерительных инструментов</w:t>
            </w:r>
          </w:p>
          <w:p>
            <w:pPr>
              <w:pStyle w:val="15"/>
              <w:widowControl w:val="false"/>
              <w:spacing w:lineRule="auto" w:line="240" w:before="0" w:after="20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Как выбирать, использовать и интерпретировать результаты диагностических и измерительных 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990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Выбирать и использовать правильные типы диагностических и точных измерительных инструментов в метрических единицах.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Делать выбор и использовать диагностические и точные инструменты в соответствии с их характеристиками и требованиями задачи.</w:t>
            </w:r>
          </w:p>
          <w:p>
            <w:pPr>
              <w:pStyle w:val="15"/>
              <w:widowControl w:val="false"/>
              <w:spacing w:before="0" w:after="0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Выбирать, использовать и интерпретировать 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720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5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Диапазон неисправностей и их признаки в тяжелых компонентах или системах.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Диапазон и использование диагностических методов и оборудования.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Как применять результаты диагностического тестирования и любые соответствующие расчеты для выявления и устранения неисправностей.</w:t>
            </w:r>
          </w:p>
          <w:p>
            <w:pPr>
              <w:pStyle w:val="15"/>
              <w:widowControl w:val="false"/>
              <w:spacing w:lineRule="auto" w:line="240" w:before="0" w:after="20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Распознавать и диагностировать неисправности в тяжелых транспортных средствах или системах.</w:t>
            </w:r>
          </w:p>
          <w:p>
            <w:pPr>
              <w:pStyle w:val="15"/>
              <w:widowControl w:val="false"/>
              <w:spacing w:lineRule="auto" w:line="2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Выбирать, интерпретировать и использовать результаты соответствующих методов диагностики и оборудования.</w:t>
            </w:r>
          </w:p>
          <w:p>
            <w:pPr>
              <w:pStyle w:val="15"/>
              <w:widowControl w:val="false"/>
              <w:spacing w:before="0" w:after="0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Применять результаты диагностического тестирования и любые соответствующие расчеты, чтобы правильно идентифицировать и устранять ошибки, связанные с задачей.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479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rPr>
          <w:trHeight w:val="1048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spacing w:lineRule="auto" w:line="240"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Цели и правильное обращение, хранение ряда инструментов, используемых для обслуживания или ремонта любых компонентов или системы, связанных с обслуживанием тяжелых транспортных средств.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48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>
            <w:pPr>
              <w:pStyle w:val="15"/>
              <w:widowControl w:val="false"/>
              <w:spacing w:before="0" w:after="0"/>
              <w:jc w:val="both"/>
              <w:rPr/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15"/>
              <w:widowControl w:val="false"/>
              <w:spacing w:lineRule="auto" w:line="240" w:before="0" w:after="20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Обслуживание или ремонт компонентов или систем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692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механические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пневматические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гидравлические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информационные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электрические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электронные;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 (агрегатирование), рабочие процессы, режимы работы и возможности использования самоходных рабочих машин, машин, оборудования и агрегатов;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изготовления комплектующих и оборудования по чертежам и эскизам;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изготовления конструкций и конструкций в металлостроительстве;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  <w:p>
            <w:pPr>
              <w:pStyle w:val="15"/>
              <w:widowControl w:val="false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15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установке, обслуживанию и оснащению аппаратуры управления, контроля систем и дополнительных устройств и аксессуаров;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коробки передачи;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выбирать и объяснять соотношение сил;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двигателях, в том числе: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и установка поршней;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установка ТНВД;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r>
              <w:rPr>
                <w:sz w:val="28"/>
                <w:szCs w:val="28"/>
                <w:lang w:val="en-US"/>
              </w:rPr>
              <w:t>Common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Rail</w:t>
            </w:r>
            <w:r>
              <w:rPr>
                <w:sz w:val="28"/>
                <w:szCs w:val="28"/>
              </w:rPr>
              <w:t>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восстановление электрических систем до полной функциональности;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устранять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проблемы, связанные с гидравлическими насосами, направлением движения масла, механизмами и системами с низким и высоким давлением;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измерять и устанавливать датчики нагрузки гидравлической системы;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системы нагрузки в соответствии с данными производителя;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специализированных открытых площадках для машин, включающих в себя: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рулевое управление, согласно инструкции изготовителя для систем передней управляемой оси;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/>
              <w:rPr>
                <w:i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настраивать и регулировать навесные и прицепные сельскохозяйственные машины и орудия;</w:t>
            </w:r>
          </w:p>
          <w:p>
            <w:pPr>
              <w:pStyle w:val="15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>
            <w:pPr>
              <w:pStyle w:val="15"/>
              <w:widowControl w:val="false"/>
              <w:spacing w:before="0" w:after="0"/>
              <w:jc w:val="both"/>
              <w:rPr/>
            </w:pPr>
            <w:r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использования самоходных рабочих машин, орудий, оборудования, агрегатов.</w:t>
            </w:r>
          </w:p>
        </w:tc>
        <w:tc>
          <w:tcPr>
            <w:tcW w:w="2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5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</w:tbl>
    <w:p>
      <w:pPr>
        <w:pStyle w:val="15"/>
        <w:spacing w:before="0" w:after="0"/>
        <w:ind w:firstLine="709"/>
        <w:jc w:val="both"/>
        <w:rPr>
          <w:b/>
          <w:b/>
          <w:i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2"/>
        <w:spacing w:lineRule="auto" w:line="276" w:before="24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>
        <w:rPr>
          <w:rFonts w:ascii="Times New Roman" w:hAnsi="Times New Roman"/>
          <w:color w:val="000000"/>
          <w:sz w:val="24"/>
          <w:lang w:val="ru-RU"/>
        </w:rPr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>
      <w:pPr>
        <w:pStyle w:val="Style26"/>
        <w:widowControl/>
        <w:spacing w:lineRule="auto" w:line="276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>
      <w:pPr>
        <w:pStyle w:val="Style26"/>
        <w:widowControl/>
        <w:spacing w:lineRule="auto" w:line="276"/>
        <w:ind w:firstLine="709"/>
        <w:jc w:val="right"/>
        <w:rPr>
          <w:rFonts w:ascii="Times New Roman" w:hAnsi="Times New Roman"/>
          <w:bCs/>
          <w:i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>
      <w:pPr>
        <w:pStyle w:val="Style26"/>
        <w:widowControl/>
        <w:spacing w:lineRule="auto" w:line="276"/>
        <w:ind w:firstLine="709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>
      <w:pPr>
        <w:pStyle w:val="Style26"/>
        <w:widowControl/>
        <w:spacing w:lineRule="auto" w:line="276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</w:r>
    </w:p>
    <w:tbl>
      <w:tblPr>
        <w:tblStyle w:val="afff"/>
        <w:tblW w:w="48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11"/>
        <w:gridCol w:w="280"/>
        <w:gridCol w:w="823"/>
        <w:gridCol w:w="1028"/>
        <w:gridCol w:w="937"/>
        <w:gridCol w:w="797"/>
        <w:gridCol w:w="1016"/>
        <w:gridCol w:w="1189"/>
        <w:gridCol w:w="1871"/>
      </w:tblGrid>
      <w:tr>
        <w:trPr>
          <w:trHeight w:val="1538" w:hRule="atLeast"/>
        </w:trPr>
        <w:tc>
          <w:tcPr>
            <w:tcW w:w="1311" w:type="dxa"/>
            <w:tcBorders/>
            <w:shd w:color="auto" w:fill="92D050" w:val="clea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070" w:type="dxa"/>
            <w:gridSpan w:val="7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val="ru-RU" w:eastAsia="ru-RU" w:bidi="ar-SA"/>
              </w:rPr>
              <w:t>КРИТЕРИИ</w:t>
            </w:r>
          </w:p>
        </w:tc>
        <w:tc>
          <w:tcPr>
            <w:tcW w:w="1871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Итого баллов за раздел </w:t>
            </w:r>
            <w:r>
              <w:rPr>
                <w:rFonts w:eastAsia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ТРЕБОВАНИЙ КОМПЕТЕНЦИИ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restart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ru-RU" w:eastAsia="ru-RU" w:bidi="ar-SA"/>
              </w:rPr>
              <w:t>Разделы ТРЕБОВАНИЙ КОМПЕТЕНЦИИ</w:t>
            </w:r>
          </w:p>
        </w:tc>
        <w:tc>
          <w:tcPr>
            <w:tcW w:w="28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</w:r>
          </w:p>
        </w:tc>
        <w:tc>
          <w:tcPr>
            <w:tcW w:w="823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A</w:t>
            </w:r>
          </w:p>
        </w:tc>
        <w:tc>
          <w:tcPr>
            <w:tcW w:w="1028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ru-RU" w:eastAsia="ru-RU" w:bidi="ar-SA"/>
              </w:rPr>
              <w:t>Б</w:t>
            </w:r>
          </w:p>
        </w:tc>
        <w:tc>
          <w:tcPr>
            <w:tcW w:w="937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ru-RU" w:eastAsia="ru-RU" w:bidi="ar-SA"/>
              </w:rPr>
              <w:t>В</w:t>
            </w:r>
          </w:p>
        </w:tc>
        <w:tc>
          <w:tcPr>
            <w:tcW w:w="797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ru-RU" w:eastAsia="ru-RU" w:bidi="ar-SA"/>
              </w:rPr>
              <w:t>Г</w:t>
            </w:r>
          </w:p>
        </w:tc>
        <w:tc>
          <w:tcPr>
            <w:tcW w:w="1016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ru-RU" w:eastAsia="ru-RU" w:bidi="ar-SA"/>
              </w:rPr>
              <w:t>Д</w:t>
            </w:r>
          </w:p>
        </w:tc>
        <w:tc>
          <w:tcPr>
            <w:tcW w:w="1189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ru-RU" w:eastAsia="ru-RU" w:bidi="ar-SA"/>
              </w:rPr>
              <w:t>Е</w:t>
            </w:r>
          </w:p>
        </w:tc>
        <w:tc>
          <w:tcPr>
            <w:tcW w:w="1871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ind w:right="172" w:hanging="176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1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2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3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4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1,5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12,5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5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1,5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0,5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2"/>
                <w:szCs w:val="22"/>
                <w:lang w:val="en-US" w:eastAsia="ru-RU" w:bidi="ar-SA"/>
              </w:rPr>
              <w:t>6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0,5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9,5</w:t>
            </w:r>
          </w:p>
        </w:tc>
      </w:tr>
      <w:tr>
        <w:trPr>
          <w:trHeight w:val="50" w:hRule="atLeast"/>
        </w:trPr>
        <w:tc>
          <w:tcPr>
            <w:tcW w:w="1311" w:type="dxa"/>
            <w:vMerge w:val="continue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0" w:type="dxa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823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93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016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kern w:val="0"/>
                <w:lang w:val="ru-RU" w:eastAsia="ru-RU" w:bidi="ar-SA"/>
              </w:rPr>
              <w:t>28</w:t>
            </w:r>
          </w:p>
        </w:tc>
      </w:tr>
      <w:tr>
        <w:trPr/>
        <w:tc>
          <w:tcPr>
            <w:tcW w:w="1591" w:type="dxa"/>
            <w:gridSpan w:val="2"/>
            <w:tcBorders/>
            <w:shd w:color="auto" w:fill="00B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ru-RU" w:eastAsia="ru-RU" w:bidi="ar-SA"/>
              </w:rPr>
              <w:t>Итого баллов за критерий/модуль</w:t>
            </w:r>
          </w:p>
        </w:tc>
        <w:tc>
          <w:tcPr>
            <w:tcW w:w="823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02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93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9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01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8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87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/>
              <w:fldChar w:fldCharType="begin"/>
            </w:r>
            <w:r>
              <w:rPr/>
              <w:instrText> =SUM(LEFT)</w:instrText>
            </w:r>
            <w:r>
              <w:rPr/>
              <w:fldChar w:fldCharType="separate"/>
            </w:r>
            <w:r>
              <w:rPr/>
              <w:t>100</w:t>
            </w:r>
            <w:r>
              <w:rPr/>
              <w:fldChar w:fldCharType="end"/>
            </w:r>
          </w:p>
        </w:tc>
      </w:tr>
    </w:tbl>
    <w:p>
      <w:pPr>
        <w:pStyle w:val="15"/>
        <w:spacing w:before="0" w:after="0"/>
        <w:jc w:val="both"/>
        <w:rPr/>
      </w:pPr>
      <w:r>
        <w:rPr/>
      </w:r>
    </w:p>
    <w:p>
      <w:pPr>
        <w:pStyle w:val="15"/>
        <w:spacing w:before="0" w:after="0"/>
        <w:jc w:val="both"/>
        <w:rPr/>
      </w:pPr>
      <w:r>
        <w:rPr/>
      </w:r>
    </w:p>
    <w:p>
      <w:pPr>
        <w:pStyle w:val="28"/>
        <w:spacing w:lineRule="auto" w:line="276"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28"/>
        <w:spacing w:lineRule="auto" w:line="276"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15"/>
        <w:rPr>
          <w:rFonts w:eastAsia="Times New Roman"/>
          <w:b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br w:type="page"/>
      </w:r>
    </w:p>
    <w:p>
      <w:pPr>
        <w:pStyle w:val="28"/>
        <w:spacing w:lineRule="auto" w:line="276"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9"/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>
      <w:pPr>
        <w:pStyle w:val="15"/>
        <w:spacing w:before="0" w:after="0"/>
        <w:ind w:firstLine="709"/>
        <w:jc w:val="right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>
      <w:pPr>
        <w:pStyle w:val="15"/>
        <w:spacing w:before="0" w:after="0"/>
        <w:ind w:firstLine="70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3030"/>
        <w:gridCol w:w="6071"/>
      </w:tblGrid>
      <w:tr>
        <w:trPr/>
        <w:tc>
          <w:tcPr>
            <w:tcW w:w="3568" w:type="dxa"/>
            <w:gridSpan w:val="2"/>
            <w:tcBorders/>
            <w:shd w:color="auto" w:fill="92D050" w:val="clea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Критерий</w:t>
            </w:r>
          </w:p>
        </w:tc>
        <w:tc>
          <w:tcPr>
            <w:tcW w:w="6071" w:type="dxa"/>
            <w:tcBorders/>
            <w:shd w:color="auto" w:fill="92D050" w:val="clea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Методика проверки навыков в критерии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А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Microsoft YaHei" w:cs="Calibri"/>
                <w:b/>
                <w:b/>
                <w:bCs/>
                <w:color w:val="000000"/>
              </w:rPr>
            </w:pPr>
            <w:r>
              <w:rPr>
                <w:rFonts w:eastAsia="Microsoft YaHei" w:cs="Calibri" w:ascii="Calibri" w:hAnsi="Calibri"/>
                <w:b/>
                <w:bCs/>
                <w:color w:val="000000"/>
                <w:kern w:val="0"/>
                <w:lang w:val="ru-RU" w:eastAsia="ru-RU" w:bidi="ar-SA"/>
              </w:rPr>
              <w:t>Электрооборудование и электроника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Требования безопасности при подготовке рабочего места и проведении работ;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Тестирование и диагностика компонентов э</w:t>
            </w:r>
            <w:r>
              <w:rPr>
                <w:rFonts w:eastAsia="Times New Roman"/>
                <w:color w:val="000000"/>
                <w:kern w:val="0"/>
                <w:lang w:val="ru-RU" w:eastAsia="ru-RU" w:bidi="ar-SA"/>
              </w:rPr>
              <w:t xml:space="preserve">лектрической системы и системы контроля </w:t>
            </w:r>
            <w:r>
              <w:rPr>
                <w:rFonts w:eastAsia="Times New Roman"/>
                <w:kern w:val="0"/>
                <w:lang w:val="ru-RU" w:eastAsia="ru-RU" w:bidi="ar-SA"/>
              </w:rPr>
              <w:t>двигателя;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Ремонт и измерения;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Б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Microsoft YaHei" w:cs="Calibri"/>
                <w:b/>
                <w:b/>
                <w:bCs/>
                <w:color w:val="000000"/>
              </w:rPr>
            </w:pPr>
            <w:r>
              <w:rPr>
                <w:rFonts w:eastAsia="Microsoft YaHei" w:cs="Calibri" w:ascii="Calibri" w:hAnsi="Calibri"/>
                <w:b/>
                <w:bCs/>
                <w:color w:val="000000"/>
                <w:kern w:val="0"/>
                <w:lang w:val="ru-RU" w:eastAsia="ru-RU" w:bidi="ar-SA"/>
              </w:rPr>
              <w:t>Двигатель и точные измерения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Требования безопасности при подготовке рабочего места и проведении работ;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 xml:space="preserve">            </w:t>
            </w:r>
            <w:r>
              <w:rPr>
                <w:rFonts w:eastAsia="Times New Roman"/>
                <w:kern w:val="0"/>
                <w:lang w:val="ru-RU" w:eastAsia="ru-RU" w:bidi="ar-SA"/>
              </w:rPr>
              <w:t>Дефектовка структурных элементов двигателя;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Ремонт и измерения;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В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Microsoft YaHei" w:cs="Calibri"/>
                <w:b/>
                <w:b/>
                <w:bCs/>
                <w:color w:val="000000"/>
              </w:rPr>
            </w:pPr>
            <w:r>
              <w:rPr>
                <w:rFonts w:eastAsia="Microsoft YaHei" w:cs="Calibri" w:ascii="Calibri" w:hAnsi="Calibri"/>
                <w:b/>
                <w:bCs/>
                <w:color w:val="000000"/>
                <w:kern w:val="0"/>
                <w:lang w:val="ru-RU" w:eastAsia="ru-RU" w:bidi="ar-SA"/>
              </w:rPr>
              <w:t>Механический привод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Требования безопасности при подготовке рабочего места и проведении работ;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Ремонт и измерения;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Г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Microsoft YaHei" w:cs="Calibri"/>
                <w:b/>
                <w:b/>
                <w:bCs/>
                <w:color w:val="000000"/>
              </w:rPr>
            </w:pPr>
            <w:r>
              <w:rPr>
                <w:rFonts w:eastAsia="Microsoft YaHei" w:cs="Calibri" w:ascii="Calibri" w:hAnsi="Calibri"/>
                <w:b/>
                <w:bCs/>
                <w:color w:val="000000"/>
                <w:kern w:val="0"/>
                <w:lang w:val="ru-RU" w:eastAsia="ru-RU" w:bidi="ar-SA"/>
              </w:rPr>
              <w:t>Гидравлические системы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Требования безопасности при подготовке рабочего места и проведении работ;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 xml:space="preserve"> Тестирование и диагностика компонентов и гидравлических систем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Ремонт и измерения;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Д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Microsoft YaHe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Microsoft YaHei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Комплектование машинно-тракторного агрегата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Требования безопасности при подготовке рабочего места и проведении работ;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Дефектовка структурных элементов сельскохозяйственной машины;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Ремонт и измерения;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</w:t>
            </w:r>
          </w:p>
        </w:tc>
      </w:tr>
      <w:tr>
        <w:trPr/>
        <w:tc>
          <w:tcPr>
            <w:tcW w:w="538" w:type="dxa"/>
            <w:tcBorders/>
            <w:shd w:color="auto" w:fill="00B050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b/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val="FFFFFF" w:themeColor="background1"/>
                <w:kern w:val="0"/>
                <w:lang w:val="ru-RU" w:eastAsia="ru-RU" w:bidi="ar-SA"/>
              </w:rPr>
              <w:t>Е</w:t>
            </w:r>
          </w:p>
        </w:tc>
        <w:tc>
          <w:tcPr>
            <w:tcW w:w="3030" w:type="dxa"/>
            <w:tcBorders/>
            <w:shd w:color="auto" w:fill="92D050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b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lang w:val="ru-RU" w:eastAsia="ru-RU" w:bidi="ar-SA"/>
              </w:rPr>
              <w:t>Оформление документации по ремонту</w:t>
            </w:r>
          </w:p>
        </w:tc>
        <w:tc>
          <w:tcPr>
            <w:tcW w:w="6071" w:type="dxa"/>
            <w:tcBorders/>
            <w:shd w:color="auto" w:fill="auto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Дефектовка и проверка комплектности,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Работа с каталожной документацией;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Составление ведомости некомплекта;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>
            <w:pPr>
              <w:pStyle w:val="15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•</w:t>
            </w:r>
            <w:r>
              <w:rPr>
                <w:rFonts w:eastAsia="Times New Roman"/>
                <w:kern w:val="0"/>
                <w:lang w:val="ru-RU" w:eastAsia="ru-RU" w:bidi="ar-SA"/>
              </w:rPr>
              <w:tab/>
              <w:t>Заполнение акта о выполненных работах (заказ наряд)</w:t>
            </w:r>
          </w:p>
        </w:tc>
      </w:tr>
    </w:tbl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>
      <w:pPr>
        <w:pStyle w:val="15"/>
        <w:spacing w:before="0" w:after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</w:r>
    </w:p>
    <w:p>
      <w:pPr>
        <w:pStyle w:val="15"/>
        <w:spacing w:before="0" w:after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Общее количество баллов задания/модуля по всем критериям оценки составляет 100.</w:t>
      </w:r>
    </w:p>
    <w:p>
      <w:pPr>
        <w:pStyle w:val="Default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Оценка каждого аспекта модуля осуществляется одним экспертом (независимый эксперт или представитель дилерского центра) на усмотрение организаторов площадки проведения соревнования.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>
      <w:pPr>
        <w:pStyle w:val="Style26"/>
        <w:widowControl/>
        <w:spacing w:lineRule="auto" w:line="276" w:before="0" w:after="0"/>
        <w:ind w:firstLine="709"/>
        <w:contextualSpacing/>
        <w:rPr>
          <w:b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в компетенции не применяется.</w:t>
      </w:r>
    </w:p>
    <w:p>
      <w:pPr>
        <w:pStyle w:val="15"/>
        <w:spacing w:before="0" w:after="0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>
      <w:pPr>
        <w:pStyle w:val="15"/>
        <w:spacing w:before="0"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Возрастной ценз: </w:t>
      </w:r>
      <w:r>
        <w:rPr>
          <w:rFonts w:eastAsia="Times New Roman"/>
          <w:color w:val="000000"/>
          <w:sz w:val="28"/>
          <w:szCs w:val="28"/>
        </w:rPr>
        <w:t>основная группа</w:t>
      </w:r>
    </w:p>
    <w:p>
      <w:pPr>
        <w:pStyle w:val="15"/>
        <w:spacing w:before="0"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>
      <w:pPr>
        <w:pStyle w:val="15"/>
        <w:spacing w:before="0"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>
      <w:pPr>
        <w:pStyle w:val="1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spacing w:before="0" w:after="0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>
      <w:pPr>
        <w:pStyle w:val="15"/>
        <w:spacing w:before="0"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шести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модуля, и вариативную часть 2 модуля. Общее количество баллов конкурсного задания составляет 100.</w:t>
      </w:r>
    </w:p>
    <w:p>
      <w:pPr>
        <w:pStyle w:val="15"/>
        <w:spacing w:before="0"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Количество модулей из инвариантной части, выбирается регионом в зависимости от материальных возможностей площадки соревнований и потребностей работодателей региона в соответствующих специалистах, но не может составлять менее 4 модулей.</w:t>
      </w:r>
    </w:p>
    <w:p>
      <w:pPr>
        <w:pStyle w:val="15"/>
        <w:spacing w:before="0"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 по аспектам не меняются и составляет также 100 баллов.</w:t>
      </w:r>
    </w:p>
    <w:p>
      <w:pPr>
        <w:pStyle w:val="15"/>
        <w:spacing w:before="0" w:after="0"/>
        <w:ind w:firstLine="851"/>
        <w:jc w:val="right"/>
        <w:rPr>
          <w:rFonts w:eastAsia="Times New Roman"/>
          <w:i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Таблица №4</w:t>
      </w:r>
    </w:p>
    <w:p>
      <w:pPr>
        <w:pStyle w:val="15"/>
        <w:spacing w:before="0" w:after="0"/>
        <w:ind w:firstLine="851"/>
        <w:jc w:val="right"/>
        <w:rPr>
          <w:rFonts w:eastAsia="Times New Roman"/>
          <w:i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</w:r>
    </w:p>
    <w:p>
      <w:pPr>
        <w:pStyle w:val="15"/>
        <w:spacing w:before="0" w:after="0"/>
        <w:ind w:firstLine="851"/>
        <w:jc w:val="center"/>
        <w:rPr>
          <w:rFonts w:eastAsia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Матрица конкурсного задания</w:t>
      </w:r>
    </w:p>
    <w:p>
      <w:pPr>
        <w:pStyle w:val="15"/>
        <w:spacing w:before="0"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/>
      </w:r>
    </w:p>
    <w:p>
      <w:pPr>
        <w:pStyle w:val="28"/>
        <w:spacing w:lineRule="auto" w:line="276" w:before="0" w:after="0"/>
        <w:ind w:firstLine="709"/>
        <w:jc w:val="both"/>
        <w:rPr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0"/>
    </w:p>
    <w:p>
      <w:pPr>
        <w:pStyle w:val="15"/>
        <w:spacing w:lineRule="auto" w:line="240" w:before="0" w:after="0"/>
        <w:rPr>
          <w:rFonts w:eastAsia="Microsoft YaHei"/>
          <w:b/>
          <w:b/>
          <w:bCs/>
          <w:color w:val="000000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Microsoft YaHei"/>
          <w:b/>
          <w:bCs/>
          <w:color w:val="000000"/>
          <w:sz w:val="28"/>
          <w:szCs w:val="28"/>
        </w:rPr>
        <w:t>Электрооборудование и электроника</w:t>
      </w:r>
      <w:r>
        <w:rPr>
          <w:rFonts w:eastAsia="Microsoft YaHei"/>
          <w:b/>
          <w:bCs/>
          <w:color w:val="000000"/>
        </w:rPr>
        <w:t xml:space="preserve">»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 - 3 часа.</w:t>
      </w:r>
    </w:p>
    <w:p>
      <w:pPr>
        <w:pStyle w:val="NormalWeb"/>
        <w:numPr>
          <w:ilvl w:val="0"/>
          <w:numId w:val="5"/>
        </w:numPr>
        <w:spacing w:lineRule="auto" w:line="360" w:before="280" w:afterAutospacing="0" w:after="0"/>
        <w:jc w:val="both"/>
        <w:rPr/>
      </w:pPr>
      <w:r>
        <w:rPr>
          <w:b/>
          <w:bCs/>
          <w:sz w:val="28"/>
          <w:szCs w:val="28"/>
        </w:rPr>
        <w:t>Задания:</w:t>
      </w:r>
      <w:r>
        <w:rPr>
          <w:bCs/>
          <w:sz w:val="28"/>
          <w:szCs w:val="28"/>
        </w:rPr>
        <w:t xml:space="preserve"> </w:t>
      </w:r>
    </w:p>
    <w:p>
      <w:pPr>
        <w:pStyle w:val="NormalWeb"/>
        <w:numPr>
          <w:ilvl w:val="0"/>
          <w:numId w:val="5"/>
        </w:numPr>
        <w:spacing w:lineRule="auto" w:line="360" w:before="280" w:afterAutospacing="0" w:after="0"/>
        <w:jc w:val="both"/>
        <w:rPr/>
      </w:pPr>
      <w:r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r>
        <w:rPr>
          <w:sz w:val="28"/>
          <w:szCs w:val="28"/>
          <w:lang w:val="en-US"/>
        </w:rPr>
        <w:t>Common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Rail</w:t>
      </w:r>
      <w:r>
        <w:rPr>
          <w:sz w:val="28"/>
          <w:szCs w:val="28"/>
        </w:rPr>
        <w:t>, системы освещения и сигнализации, систем контроля трактора, устранить неисправности, провести диагностирование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>
      <w:pPr>
        <w:pStyle w:val="15"/>
        <w:numPr>
          <w:ilvl w:val="0"/>
          <w:numId w:val="5"/>
        </w:numPr>
        <w:spacing w:before="0" w:after="0"/>
        <w:contextualSpacing/>
        <w:jc w:val="both"/>
        <w:rPr>
          <w:rFonts w:eastAsia="Times New Roman"/>
          <w:b/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>
      <w:pPr>
        <w:pStyle w:val="15"/>
        <w:spacing w:before="0"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Модуль Б – Двигатель и точные измерения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>
      <w:pPr>
        <w:pStyle w:val="15"/>
        <w:spacing w:before="0" w:after="0"/>
        <w:contextualSpacing/>
        <w:jc w:val="both"/>
        <w:rPr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</w:t>
      </w:r>
    </w:p>
    <w:p>
      <w:pPr>
        <w:pStyle w:val="15"/>
        <w:numPr>
          <w:ilvl w:val="0"/>
          <w:numId w:val="6"/>
        </w:numPr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Б1- На данном этапе модуля конкурсанту необходимо выполнить необходимые метрологические измерения в тренажёре-симуляторе «Двигатель. Точные измерения». Результаты работы (обнаруженные и  неисправности, результаты проведённых замеров) записать в дефектную ведомость.</w:t>
      </w:r>
    </w:p>
    <w:p>
      <w:pPr>
        <w:pStyle w:val="15"/>
        <w:numPr>
          <w:ilvl w:val="0"/>
          <w:numId w:val="6"/>
        </w:numPr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Б2- Конкурсанту необходимо  провести необходимые метрологические измерения </w:t>
      </w:r>
      <w:r>
        <w:rPr>
          <w:rFonts w:eastAsia="Times New Roman"/>
          <w:bCs/>
          <w:sz w:val="28"/>
          <w:szCs w:val="28"/>
        </w:rPr>
        <w:t>на двигателе</w:t>
      </w:r>
      <w:r>
        <w:rPr>
          <w:rFonts w:eastAsia="Times New Roman"/>
          <w:bCs/>
          <w:sz w:val="28"/>
          <w:szCs w:val="28"/>
        </w:rPr>
        <w:t xml:space="preserve">, провести сборку в правильной последовательности, </w:t>
      </w:r>
      <w:r>
        <w:rPr>
          <w:rFonts w:eastAsia="Times New Roman"/>
          <w:bCs/>
          <w:sz w:val="28"/>
          <w:szCs w:val="28"/>
        </w:rPr>
        <w:t xml:space="preserve">выполнить </w:t>
      </w:r>
      <w:r>
        <w:rPr>
          <w:rFonts w:eastAsia="Times New Roman"/>
          <w:bCs/>
          <w:sz w:val="28"/>
          <w:szCs w:val="28"/>
        </w:rPr>
        <w:t>регулировки. Выбрать правильные моменты затяжки. Результаты работы (обнаруженные и устранённые неисправности, результаты проведённых замеров,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>
      <w:pPr>
        <w:pStyle w:val="NormalWeb"/>
        <w:numPr>
          <w:ilvl w:val="0"/>
          <w:numId w:val="7"/>
        </w:numPr>
        <w:spacing w:lineRule="auto" w:line="276" w:before="280" w:afterAutospacing="0" w:after="0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Конкурсанту необходимо провести подготовку трактора к работе с пресс- подборщиком, а</w:t>
      </w:r>
      <w:r>
        <w:rPr>
          <w:color w:val="000000"/>
          <w:sz w:val="28"/>
          <w:szCs w:val="28"/>
        </w:rPr>
        <w:t>грегатирование пресс-подборщика с трактором,</w:t>
      </w:r>
      <w:r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трактору и по пресс-подборщику, состояние механизмов по окончании работы) записать в дефектную ведомость.</w:t>
      </w:r>
    </w:p>
    <w:p>
      <w:pPr>
        <w:pStyle w:val="15"/>
        <w:spacing w:before="0" w:after="0"/>
        <w:jc w:val="both"/>
        <w:rPr>
          <w:rFonts w:eastAsia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» (вариатив)</w:t>
      </w:r>
    </w:p>
    <w:p>
      <w:pPr>
        <w:pStyle w:val="15"/>
        <w:spacing w:before="0" w:after="0"/>
        <w:contextualSpacing/>
        <w:jc w:val="both"/>
        <w:rPr/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- 3 часа. </w:t>
      </w:r>
      <w:r>
        <w:rPr>
          <w:b/>
          <w:bCs/>
          <w:sz w:val="28"/>
          <w:szCs w:val="28"/>
        </w:rPr>
        <w:t>Задания:</w:t>
      </w:r>
      <w:r>
        <w:rPr>
          <w:bCs/>
          <w:sz w:val="28"/>
          <w:szCs w:val="28"/>
        </w:rPr>
        <w:t xml:space="preserve"> </w:t>
      </w:r>
    </w:p>
    <w:p>
      <w:pPr>
        <w:pStyle w:val="NormalWeb"/>
        <w:numPr>
          <w:ilvl w:val="0"/>
          <w:numId w:val="8"/>
        </w:numPr>
        <w:spacing w:lineRule="auto" w:line="360" w:before="280" w:afterAutospacing="0" w:after="0"/>
        <w:jc w:val="both"/>
        <w:rPr/>
      </w:pPr>
      <w:r>
        <w:rPr/>
        <w:t xml:space="preserve">Г1- </w:t>
      </w:r>
      <w:r>
        <w:rPr>
          <w:sz w:val="28"/>
          <w:szCs w:val="28"/>
        </w:rPr>
        <w:t>На данном этапе модуля конкурсанту необходимо составить гидропривод по заданной схеме на учебном стенде, включить гидропривод в работу, определить энергетические параметры работы агрегатов гидропривода. Результаты работы (результаты проведённых замеров (подача насоса, давление и расход жидкости в различных агрегатах), состояние механизмов по окончании работы) записать в дефектную ведомость.</w:t>
      </w:r>
    </w:p>
    <w:p>
      <w:pPr>
        <w:pStyle w:val="15"/>
        <w:numPr>
          <w:ilvl w:val="0"/>
          <w:numId w:val="8"/>
        </w:numPr>
        <w:spacing w:lineRule="auto" w:line="360"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Г2- На данном этапе модуля конкурсанту необходимо подготовить к работе трактор с экскаваторно- бульдозерным (погрузочным) оборудованием, устранить обнаруженные неисправности, провести диагностирование и регулировки гидросистем управления экскаваторное-бульдозерным (погрузочным) оборудованием, проверить работу экскаваторно-бульдозерного (погрузочного) оборудования. Результаты работы (обнаруженные и устранённые неисправности, результаты диагностирования и проведённых регулировок, состояние механизмов по окончании работы) записать в дефектную ведомость.</w:t>
      </w:r>
    </w:p>
    <w:p>
      <w:pPr>
        <w:pStyle w:val="15"/>
        <w:spacing w:lineRule="auto" w:line="240" w:before="0" w:after="0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eastAsia="Microsoft YaHei"/>
          <w:color w:val="000000"/>
          <w:sz w:val="28"/>
          <w:szCs w:val="28"/>
        </w:rPr>
        <w:t>Комплектование машинно-тракторного агрегата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(инвариант)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>
      <w:pPr>
        <w:pStyle w:val="NormalWeb"/>
        <w:numPr>
          <w:ilvl w:val="0"/>
          <w:numId w:val="9"/>
        </w:numPr>
        <w:spacing w:lineRule="auto" w:line="360" w:before="280" w:afterAutospacing="0" w:after="0"/>
        <w:jc w:val="both"/>
        <w:rPr/>
      </w:pPr>
      <w:r>
        <w:rPr>
          <w:b/>
          <w:bCs/>
          <w:sz w:val="28"/>
          <w:szCs w:val="28"/>
        </w:rPr>
        <w:t>Задания: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Конкурсанту необходимо провести комплектование оборотного плуга, подготовить трактор для работы с оборотным плугом, провести агрегатирование трактора с оборотным плугом, адаптировать плуг к трактору, отрегулировать пахотный агрегат на заданные условия работы. Результаты работы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>
      <w:pPr>
        <w:pStyle w:val="15"/>
        <w:spacing w:before="0"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(вариатив)</w:t>
      </w:r>
    </w:p>
    <w:p>
      <w:pPr>
        <w:pStyle w:val="15"/>
        <w:spacing w:before="0"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>
      <w:pPr>
        <w:pStyle w:val="15"/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i/>
          <w:sz w:val="28"/>
          <w:szCs w:val="28"/>
        </w:rPr>
        <w:t>Конкурсанту</w:t>
      </w:r>
      <w:r>
        <w:rPr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составить заявку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>
      <w:pPr>
        <w:pStyle w:val="15"/>
        <w:spacing w:before="0" w:after="0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2"/>
        <w:spacing w:lineRule="auto" w:line="276" w:before="240" w:after="0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bookmarkStart w:id="11" w:name="_Toc78885643"/>
      <w:bookmarkStart w:id="12" w:name="_Toc124422971"/>
      <w:bookmarkEnd w:id="11"/>
      <w:bookmarkEnd w:id="12"/>
      <w:r>
        <w:rPr>
          <w:rStyle w:val="Style12"/>
          <w:rFonts w:ascii="Times New Roman" w:hAnsi="Times New Roman"/>
          <w:i/>
          <w:color w:val="000000"/>
        </w:rPr>
        <w:footnoteReference w:id="2"/>
      </w:r>
    </w:p>
    <w:p>
      <w:pPr>
        <w:pStyle w:val="15"/>
        <w:spacing w:before="0" w:after="0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15"/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>
      <w:pPr>
        <w:pStyle w:val="261"/>
        <w:shd w:val="clear" w:color="auto" w:fill="auto"/>
        <w:spacing w:lineRule="auto" w:line="276" w:before="0" w:after="0"/>
        <w:ind w:firstLine="709"/>
        <w:contextualSpacing/>
        <w:jc w:val="both"/>
        <w:rPr>
          <w:rStyle w:val="26"/>
          <w:rFonts w:ascii="Times New Roman" w:hAnsi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>
        <w:rPr>
          <w:rStyle w:val="26"/>
          <w:rFonts w:cs="Times New Roman" w:ascii="Times New Roman" w:hAnsi="Times New Roman"/>
          <w:sz w:val="28"/>
          <w:szCs w:val="28"/>
        </w:rPr>
        <w:t>STOP</w:t>
      </w:r>
      <w:r>
        <w:rPr>
          <w:rStyle w:val="26"/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Style w:val="26"/>
          <w:rFonts w:cs="Times New Roman" w:ascii="Times New Roman" w:hAnsi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>
        <w:rPr>
          <w:rStyle w:val="26"/>
          <w:rFonts w:cs="Times New Roman" w:ascii="Times New Roman" w:hAnsi="Times New Roman"/>
          <w:sz w:val="28"/>
          <w:szCs w:val="28"/>
        </w:rPr>
        <w:t>STOP</w:t>
      </w:r>
      <w:r>
        <w:rPr>
          <w:rStyle w:val="26"/>
          <w:rFonts w:cs="Times New Roman" w:ascii="Times New Roman" w:hAnsi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>
      <w:pPr>
        <w:pStyle w:val="15"/>
        <w:spacing w:before="0" w:after="0"/>
        <w:ind w:firstLine="284"/>
        <w:jc w:val="both"/>
        <w:rPr/>
      </w:pPr>
      <w:r>
        <w:rPr>
          <w:rStyle w:val="26"/>
          <w:rFonts w:cs="Times New Roman" w:ascii="Times New Roman" w:hAnsi="Times New Roman"/>
          <w:sz w:val="28"/>
          <w:szCs w:val="28"/>
          <w:lang w:val="ru-RU"/>
        </w:rPr>
        <w:t xml:space="preserve">Главный эксперт согласовывает КЗ с Менеджером компетенции и принимает 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>
      <w:pPr>
        <w:pStyle w:val="15"/>
        <w:spacing w:before="0" w:after="0"/>
        <w:ind w:firstLine="284"/>
        <w:jc w:val="both"/>
        <w:rPr>
          <w:rStyle w:val="26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26"/>
          <w:rFonts w:cs="Times New Roman"/>
          <w:sz w:val="28"/>
          <w:szCs w:val="28"/>
          <w:lang w:val="ru-RU"/>
        </w:rPr>
        <w:t>Г</w:t>
      </w:r>
      <w:r>
        <w:rPr>
          <w:sz w:val="28"/>
          <w:szCs w:val="28"/>
        </w:rPr>
        <w:t>лавный эксперт распределяет Экспертов по модулям Конкурсного задания для выставления оценок. Так как в компетенции «Эксплуатация сельскохозяйственных машин» модули не связаны между собой Конкурсным заданием, представляя единое и законченное задание, оценка проводится только в измеряемом формате, поэтому каждый модуль оценивает один эксперт. Эксперт не оценивает участника из своей организации.</w:t>
      </w:r>
    </w:p>
    <w:p>
      <w:pPr>
        <w:pStyle w:val="15"/>
        <w:spacing w:before="0" w:after="0"/>
        <w:ind w:firstLine="284"/>
        <w:jc w:val="both"/>
        <w:rPr>
          <w:rFonts w:eastAsia="Times New Roman"/>
          <w:b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</w:r>
    </w:p>
    <w:p>
      <w:pPr>
        <w:pStyle w:val="15"/>
        <w:spacing w:before="0" w:after="0"/>
        <w:ind w:firstLine="284"/>
        <w:jc w:val="both"/>
        <w:rPr>
          <w:rFonts w:eastAsia="Times New Roman"/>
          <w:b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8"/>
        <w:spacing w:lineRule="auto" w:line="276" w:before="0" w:after="0"/>
        <w:jc w:val="both"/>
        <w:rPr>
          <w:rFonts w:ascii="Times New Roman" w:hAnsi="Times New Roman"/>
          <w:szCs w:val="28"/>
        </w:rPr>
      </w:pPr>
      <w:bookmarkStart w:id="13" w:name="_Toc124422972"/>
      <w:bookmarkStart w:id="14" w:name="_Toc78885659"/>
      <w:r>
        <w:rPr>
          <w:rFonts w:ascii="Times New Roman" w:hAnsi="Times New Roman"/>
          <w:color w:val="000000"/>
          <w:szCs w:val="28"/>
        </w:rPr>
        <w:t xml:space="preserve">2.1. </w:t>
      </w:r>
      <w:bookmarkEnd w:id="14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>
      <w:pPr>
        <w:pStyle w:val="15"/>
        <w:spacing w:before="0"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>
      <w:pPr>
        <w:pStyle w:val="3"/>
        <w:spacing w:lineRule="auto" w:line="276"/>
        <w:rPr>
          <w:rFonts w:ascii="Times New Roman" w:hAnsi="Times New Roman" w:cs="Times New Roman"/>
          <w:bCs w:val="false"/>
          <w:iCs/>
          <w:sz w:val="28"/>
          <w:szCs w:val="28"/>
          <w:lang w:val="ru-RU"/>
        </w:rPr>
      </w:pPr>
      <w:bookmarkStart w:id="15" w:name="_Toc78885660"/>
      <w:r>
        <w:rPr>
          <w:rFonts w:cs="Times New Roman" w:ascii="Times New Roman" w:hAnsi="Times New Roman"/>
          <w:iCs/>
          <w:sz w:val="28"/>
          <w:szCs w:val="28"/>
          <w:lang w:val="ru-RU"/>
        </w:rPr>
        <w:t>2.2.</w:t>
      </w:r>
      <w:r>
        <w:rPr>
          <w:rFonts w:cs="Times New Roman" w:ascii="Times New Roman" w:hAnsi="Times New Roman"/>
          <w:b w:val="false"/>
          <w:i/>
          <w:iCs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>
      <w:pPr>
        <w:pStyle w:val="15"/>
        <w:spacing w:before="0" w:after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>
      <w:pPr>
        <w:pStyle w:val="15"/>
        <w:spacing w:before="0"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площадке запрещены пневматические и электрические инструменты. </w:t>
      </w:r>
    </w:p>
    <w:p>
      <w:pPr>
        <w:pStyle w:val="15"/>
        <w:spacing w:before="0"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>
      <w:pPr>
        <w:pStyle w:val="15"/>
        <w:spacing w:before="0" w:after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15"/>
        <w:spacing w:before="0"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>
      <w:pPr>
        <w:pStyle w:val="15"/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18"/>
        <w:spacing w:lineRule="auto" w:line="276" w:before="240" w:after="0"/>
        <w:jc w:val="both"/>
        <w:rPr>
          <w:rFonts w:ascii="Times New Roman" w:hAnsi="Times New Roman"/>
          <w:caps w:val="false"/>
          <w:smallCaps w:val="false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false"/>
          <w:smallCaps w:val="false"/>
          <w:color w:val="auto"/>
          <w:sz w:val="28"/>
          <w:szCs w:val="28"/>
        </w:rPr>
        <w:t>3. Приложения</w:t>
      </w:r>
      <w:bookmarkEnd w:id="16"/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 конкурсного задания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Инфраструктурный лист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№4 Критерии оценки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 План застройки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 Инструкция по охране труда и технике безопасности по компетенции «Эксплуатация сельскохозяйственных машин».</w:t>
      </w:r>
    </w:p>
    <w:p>
      <w:pPr>
        <w:pStyle w:val="1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… Чертежи, технологические карты, алгоритмы, схемы и т.д. 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849" w:header="624" w:top="1134" w:footer="170" w:bottom="1134" w:gutter="0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firstRow="1" w:noVBand="1" w:lastRow="0" w:firstColumn="1" w:lastColumn="0" w:noHBand="0" w:val="04a0"/>
    </w:tblPr>
    <w:tblGrid>
      <w:gridCol w:w="5953"/>
      <w:gridCol w:w="3685"/>
    </w:tblGrid>
    <w:tr>
      <w:trPr/>
      <w:tc>
        <w:tcPr>
          <w:tcW w:w="5953" w:type="dxa"/>
          <w:tcBorders/>
          <w:shd w:color="auto" w:fill="auto" w:val="clear"/>
          <w:vAlign w:val="center"/>
        </w:tcPr>
        <w:p>
          <w:pPr>
            <w:pStyle w:val="Style33"/>
            <w:widowControl w:val="false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</w:r>
        </w:p>
      </w:tc>
      <w:tc>
        <w:tcPr>
          <w:tcW w:w="3685" w:type="dxa"/>
          <w:tcBorders/>
          <w:shd w:color="auto" w:fill="auto" w:val="clear"/>
          <w:vAlign w:val="center"/>
        </w:tcPr>
        <w:p>
          <w:pPr>
            <w:pStyle w:val="Style33"/>
            <w:widowControl w:val="false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Style33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15"/>
        <w:spacing w:lineRule="auto" w:line="240" w:before="0" w:after="0"/>
        <w:rPr>
          <w:rFonts w:eastAsia="Times New Roman"/>
          <w:i/>
          <w:i/>
          <w:color w:val="000000"/>
          <w:sz w:val="18"/>
          <w:szCs w:val="18"/>
        </w:rPr>
      </w:pPr>
      <w:r>
        <w:rPr>
          <w:rStyle w:val="Style22"/>
        </w:rPr>
        <w:footnoteRef/>
      </w:r>
      <w:r>
        <w:rPr>
          <w:vertAlign w:val="superscript"/>
        </w:rPr>
        <w:t xml:space="preserve">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tabs>
        <w:tab w:val="clear" w:pos="9355"/>
        <w:tab w:val="center" w:pos="4677" w:leader="none"/>
        <w:tab w:val="right" w:pos="10631" w:leader="none"/>
      </w:tabs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5"/>
    <w:next w:val="15"/>
    <w:link w:val="1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/>
      <w:b/>
      <w:bCs/>
      <w:caps/>
      <w:color w:val="2C8DE6"/>
      <w:sz w:val="36"/>
      <w:lang w:val="en-GB"/>
    </w:rPr>
  </w:style>
  <w:style w:type="paragraph" w:styleId="2">
    <w:name w:val="Heading 2"/>
    <w:basedOn w:val="15"/>
    <w:next w:val="15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/>
      <w:b/>
      <w:sz w:val="28"/>
      <w:lang w:val="en-GB"/>
    </w:rPr>
  </w:style>
  <w:style w:type="paragraph" w:styleId="3">
    <w:name w:val="Heading 3"/>
    <w:basedOn w:val="15"/>
    <w:next w:val="15"/>
    <w:link w:val="30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4">
    <w:name w:val="Heading 4"/>
    <w:basedOn w:val="15"/>
    <w:next w:val="15"/>
    <w:link w:val="40"/>
    <w:qFormat/>
    <w:rsid w:val="00de39d8"/>
    <w:pPr>
      <w:keepNext w:val="true"/>
      <w:widowControl w:val="false"/>
      <w:snapToGrid w:val="false"/>
      <w:spacing w:lineRule="auto" w:line="360" w:before="240" w:after="0"/>
      <w:outlineLvl w:val="3"/>
    </w:pPr>
    <w:rPr>
      <w:rFonts w:ascii="Arial" w:hAnsi="Arial" w:eastAsia="Times New Roman"/>
      <w:b/>
      <w:sz w:val="28"/>
      <w:szCs w:val="20"/>
      <w:lang w:val="en-AU"/>
    </w:rPr>
  </w:style>
  <w:style w:type="paragraph" w:styleId="5">
    <w:name w:val="Heading 5"/>
    <w:basedOn w:val="15"/>
    <w:next w:val="15"/>
    <w:link w:val="50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4"/>
    </w:pPr>
    <w:rPr>
      <w:rFonts w:ascii="Arial" w:hAnsi="Arial" w:eastAsia="Times New Roman"/>
      <w:b/>
      <w:bCs/>
      <w:sz w:val="28"/>
      <w:lang w:val="en-GB"/>
    </w:rPr>
  </w:style>
  <w:style w:type="paragraph" w:styleId="6">
    <w:name w:val="Heading 6"/>
    <w:basedOn w:val="15"/>
    <w:next w:val="15"/>
    <w:link w:val="60"/>
    <w:qFormat/>
    <w:rsid w:val="00de39d8"/>
    <w:pPr>
      <w:keepNext w:val="true"/>
      <w:widowControl w:val="false"/>
      <w:snapToGrid w:val="false"/>
      <w:spacing w:lineRule="auto" w:line="360" w:before="240" w:after="58"/>
      <w:outlineLvl w:val="5"/>
    </w:pPr>
    <w:rPr>
      <w:rFonts w:ascii="Arial" w:hAnsi="Arial" w:eastAsia="Times New Roman"/>
      <w:b/>
      <w:szCs w:val="20"/>
      <w:lang w:val="en-AU"/>
    </w:rPr>
  </w:style>
  <w:style w:type="paragraph" w:styleId="7">
    <w:name w:val="Heading 7"/>
    <w:basedOn w:val="15"/>
    <w:next w:val="15"/>
    <w:link w:val="70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6"/>
    </w:pPr>
    <w:rPr>
      <w:rFonts w:ascii="Arial" w:hAnsi="Arial" w:eastAsia="Times New Roman"/>
      <w:spacing w:val="-3"/>
      <w:sz w:val="28"/>
      <w:szCs w:val="20"/>
      <w:lang w:val="en-US"/>
    </w:rPr>
  </w:style>
  <w:style w:type="paragraph" w:styleId="8">
    <w:name w:val="Heading 8"/>
    <w:basedOn w:val="15"/>
    <w:next w:val="15"/>
    <w:link w:val="80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7"/>
    </w:pPr>
    <w:rPr>
      <w:rFonts w:ascii="Arial" w:hAnsi="Arial" w:eastAsia="Times New Roman"/>
      <w:b/>
      <w:bCs/>
      <w:lang w:val="en-GB"/>
    </w:rPr>
  </w:style>
  <w:style w:type="paragraph" w:styleId="9">
    <w:name w:val="Heading 9"/>
    <w:basedOn w:val="15"/>
    <w:next w:val="15"/>
    <w:link w:val="90"/>
    <w:qFormat/>
    <w:rsid w:val="00de39d8"/>
    <w:pPr>
      <w:keepNext w:val="true"/>
      <w:widowControl w:val="false"/>
      <w:spacing w:lineRule="auto" w:line="360" w:before="240" w:after="0"/>
      <w:ind w:left="360" w:firstLine="360"/>
      <w:jc w:val="both"/>
      <w:outlineLvl w:val="8"/>
    </w:pPr>
    <w:rPr>
      <w:rFonts w:ascii="Arial" w:hAnsi="Arial" w:eastAsia="Times New Roman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qFormat/>
    <w:rsid w:val="00de39d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1" w:customStyle="1">
    <w:name w:val="Заголовок 2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1" w:customStyle="1">
    <w:name w:val="Заголовок 3 Знак"/>
    <w:basedOn w:val="DefaultParagraphFont"/>
    <w:link w:val="3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1" w:customStyle="1">
    <w:name w:val="Заголовок 4 Знак"/>
    <w:basedOn w:val="DefaultParagraphFont"/>
    <w:link w:val="4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1" w:customStyle="1">
    <w:name w:val="Заголовок 5 Знак"/>
    <w:basedOn w:val="DefaultParagraphFont"/>
    <w:link w:val="5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1" w:customStyle="1">
    <w:name w:val="Заголовок 6 Знак"/>
    <w:basedOn w:val="DefaultParagraphFont"/>
    <w:link w:val="6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1" w:customStyle="1">
    <w:name w:val="Заголовок 7 Знак"/>
    <w:basedOn w:val="DefaultParagraphFont"/>
    <w:link w:val="7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1" w:customStyle="1">
    <w:name w:val="Заголовок 8 Знак"/>
    <w:basedOn w:val="DefaultParagraphFont"/>
    <w:link w:val="8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1" w:customStyle="1">
    <w:name w:val="Заголовок 9 Знак"/>
    <w:basedOn w:val="DefaultParagraphFont"/>
    <w:link w:val="9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Style9" w:customStyle="1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Pagenumber">
    <w:name w:val="page number"/>
    <w:qFormat/>
    <w:rsid w:val="00de39d8"/>
    <w:rPr>
      <w:rFonts w:ascii="Arial" w:hAnsi="Arial"/>
      <w:sz w:val="16"/>
    </w:rPr>
  </w:style>
  <w:style w:type="character" w:styleId="Style10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2" w:customStyle="1">
    <w:name w:val="Основной текст с отступом 2 Знак"/>
    <w:basedOn w:val="DefaultParagraphFont"/>
    <w:link w:val="2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3" w:customStyle="1">
    <w:name w:val="Основной текст 2 Знак"/>
    <w:basedOn w:val="DefaultParagraphFont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1" w:customStyle="1">
    <w:name w:val="Текст сноски Знак"/>
    <w:basedOn w:val="DefaultParagraphFon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2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sid w:val="00de39d8"/>
    <w:rPr>
      <w:vertAlign w:val="superscript"/>
    </w:rPr>
  </w:style>
  <w:style w:type="character" w:styleId="Style13" w:customStyle="1">
    <w:name w:val="Посещённая гиперссылка"/>
    <w:rsid w:val="00de39d8"/>
    <w:rPr>
      <w:color w:val="800080"/>
      <w:u w:val="single"/>
    </w:rPr>
  </w:style>
  <w:style w:type="character" w:styleId="Style14" w:customStyle="1">
    <w:name w:val="цвет в таблице"/>
    <w:qFormat/>
    <w:rsid w:val="00de39d8"/>
    <w:rPr>
      <w:color w:val="2C8DE6"/>
    </w:rPr>
  </w:style>
  <w:style w:type="character" w:styleId="12" w:customStyle="1">
    <w:name w:val="!Заголовок-1 Знак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211" w:customStyle="1">
    <w:name w:val="Основной текст 2 Знак1"/>
    <w:link w:val="24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5" w:customStyle="1">
    <w:name w:val="!Текст Знак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6" w:customStyle="1">
    <w:name w:val="выделение цвет Знак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7" w:customStyle="1">
    <w:name w:val="!Синий заголовок текста Знак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8" w:customStyle="1">
    <w:name w:val="!Список с точками Знак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Annotation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9" w:customStyle="1">
    <w:name w:val="Текст примечания Знак"/>
    <w:basedOn w:val="DefaultParagraphFon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character" w:styleId="25" w:customStyle="1">
    <w:name w:val="Основной текст (2)_"/>
    <w:qFormat/>
    <w:rsid w:val="00d2104e"/>
    <w:rPr>
      <w:rFonts w:ascii="Segoe UI" w:hAnsi="Segoe UI" w:eastAsia="Segoe UI" w:cs="Segoe UI"/>
      <w:sz w:val="19"/>
      <w:szCs w:val="19"/>
      <w:shd w:fill="FFFFFF" w:val="clear"/>
    </w:rPr>
  </w:style>
  <w:style w:type="character" w:styleId="26" w:customStyle="1">
    <w:name w:val="Основной текст (2)"/>
    <w:link w:val="260"/>
    <w:qFormat/>
    <w:rsid w:val="00d2104e"/>
    <w:rPr>
      <w:rFonts w:ascii="Segoe UI" w:hAnsi="Segoe UI" w:eastAsia="Segoe UI" w:cs="Segoe UI"/>
      <w:color w:val="000000"/>
      <w:spacing w:val="0"/>
      <w:w w:val="100"/>
      <w:sz w:val="19"/>
      <w:szCs w:val="19"/>
      <w:shd w:fill="FFFFFF" w:val="clear"/>
      <w:lang w:val="en-US" w:eastAsia="en-US" w:bidi="en-US"/>
    </w:rPr>
  </w:style>
  <w:style w:type="character" w:styleId="Style21" w:customStyle="1">
    <w:name w:val="Ссылка указателя"/>
    <w:qFormat/>
    <w:rPr/>
  </w:style>
  <w:style w:type="character" w:styleId="Style22" w:customStyle="1">
    <w:name w:val="Символ сноски"/>
    <w:qFormat/>
    <w:rPr/>
  </w:style>
  <w:style w:type="character" w:styleId="Style23" w:customStyle="1">
    <w:name w:val="Привязка концевой сноски"/>
    <w:rPr>
      <w:vertAlign w:val="superscript"/>
    </w:rPr>
  </w:style>
  <w:style w:type="character" w:styleId="Style24" w:customStyle="1">
    <w:name w:val="Символ концевой сноски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6">
    <w:name w:val="Body Text"/>
    <w:basedOn w:val="15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zCs w:val="20"/>
      <w:lang w:val="en-AU"/>
    </w:rPr>
  </w:style>
  <w:style w:type="paragraph" w:styleId="Style27">
    <w:name w:val="List"/>
    <w:basedOn w:val="Style26"/>
    <w:pPr/>
    <w:rPr>
      <w:rFonts w:cs="Lucida Sans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ucida Sans"/>
    </w:rPr>
  </w:style>
  <w:style w:type="paragraph" w:styleId="15" w:customStyle="1">
    <w:name w:val="Обычный1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Style30">
    <w:name w:val="Title"/>
    <w:basedOn w:val="15"/>
    <w:next w:val="Style2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15"/>
    <w:next w:val="15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/>
      <w:b/>
      <w:sz w:val="36"/>
      <w:szCs w:val="20"/>
      <w:lang w:val="en-AU"/>
    </w:rPr>
  </w:style>
  <w:style w:type="paragraph" w:styleId="Indexheading">
    <w:name w:val="index heading"/>
    <w:basedOn w:val="15"/>
    <w:qFormat/>
    <w:pPr>
      <w:suppressLineNumbers/>
    </w:pPr>
    <w:rPr>
      <w:rFonts w:cs="Lucida Sans"/>
    </w:rPr>
  </w:style>
  <w:style w:type="paragraph" w:styleId="Style31" w:customStyle="1">
    <w:name w:val="Колонтитул"/>
    <w:basedOn w:val="15"/>
    <w:qFormat/>
    <w:pPr/>
    <w:rPr/>
  </w:style>
  <w:style w:type="paragraph" w:styleId="Style32">
    <w:name w:val="Header"/>
    <w:basedOn w:val="1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3">
    <w:name w:val="Footer"/>
    <w:basedOn w:val="1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b45aa4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15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6">
    <w:name w:val="TOC 1"/>
    <w:basedOn w:val="15"/>
    <w:next w:val="15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/>
      <w:bCs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15"/>
    <w:qFormat/>
    <w:rsid w:val="00de39d8"/>
    <w:pPr>
      <w:tabs>
        <w:tab w:val="clear" w:pos="709"/>
        <w:tab w:val="left" w:pos="360" w:leader="none"/>
      </w:tabs>
      <w:spacing w:lineRule="auto" w:line="360" w:before="0" w:after="0"/>
      <w:ind w:left="360" w:hanging="360"/>
    </w:pPr>
    <w:rPr>
      <w:rFonts w:ascii="Arial" w:hAnsi="Arial" w:eastAsia="Times New Roman"/>
      <w:lang w:val="en-GB"/>
    </w:rPr>
  </w:style>
  <w:style w:type="paragraph" w:styleId="Docsubtitle1" w:customStyle="1">
    <w:name w:val="Doc subtitle1"/>
    <w:basedOn w:val="15"/>
    <w:link w:val="Docsubtitle1Char"/>
    <w:qFormat/>
    <w:rsid w:val="00de39d8"/>
    <w:pPr>
      <w:spacing w:lineRule="auto" w:line="360" w:before="0" w:after="0"/>
    </w:pPr>
    <w:rPr>
      <w:rFonts w:ascii="Arial" w:hAnsi="Arial" w:eastAsia="Times New Roman"/>
      <w:b/>
      <w:sz w:val="28"/>
      <w:lang w:val="en-GB"/>
    </w:rPr>
  </w:style>
  <w:style w:type="paragraph" w:styleId="Docsubtitle2" w:customStyle="1">
    <w:name w:val="Doc subtitle2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sz w:val="28"/>
      <w:lang w:val="en-GB"/>
    </w:rPr>
  </w:style>
  <w:style w:type="paragraph" w:styleId="Doctitle" w:customStyle="1">
    <w:name w:val="Doc title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b/>
      <w:sz w:val="40"/>
      <w:lang w:val="en-GB"/>
    </w:rPr>
  </w:style>
  <w:style w:type="paragraph" w:styleId="BodyTextIndent2">
    <w:name w:val="Body Text Indent 2"/>
    <w:basedOn w:val="15"/>
    <w:link w:val="21"/>
    <w:semiHidden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szCs w:val="20"/>
      <w:lang w:val="en-US"/>
    </w:rPr>
  </w:style>
  <w:style w:type="paragraph" w:styleId="BodyText2">
    <w:name w:val="Body Text 2"/>
    <w:basedOn w:val="15"/>
    <w:link w:val="210"/>
    <w:semiHidden/>
    <w:qFormat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pacing w:val="-3"/>
      <w:szCs w:val="20"/>
      <w:lang w:val="en-US"/>
    </w:rPr>
  </w:style>
  <w:style w:type="paragraph" w:styleId="17" w:customStyle="1">
    <w:name w:val="Абзац списка1"/>
    <w:basedOn w:val="15"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lang w:val="en-GB"/>
    </w:rPr>
  </w:style>
  <w:style w:type="paragraph" w:styleId="Style34">
    <w:name w:val="Footnote Text"/>
    <w:basedOn w:val="15"/>
    <w:rsid w:val="00de39d8"/>
    <w:pPr>
      <w:spacing w:lineRule="auto" w:line="360" w:before="0" w:after="0"/>
    </w:pPr>
    <w:rPr>
      <w:rFonts w:eastAsia="Times New Roman"/>
      <w:szCs w:val="20"/>
      <w:lang w:eastAsia="ru-RU"/>
    </w:rPr>
  </w:style>
  <w:style w:type="paragraph" w:styleId="Style35" w:customStyle="1">
    <w:name w:val="цветной текст"/>
    <w:basedOn w:val="15"/>
    <w:qFormat/>
    <w:rsid w:val="00de39d8"/>
    <w:pPr>
      <w:numPr>
        <w:ilvl w:val="0"/>
        <w:numId w:val="3"/>
      </w:numPr>
      <w:tabs>
        <w:tab w:val="clear" w:pos="709"/>
      </w:tabs>
      <w:spacing w:lineRule="auto" w:line="360" w:before="0" w:after="0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6" w:customStyle="1">
    <w:name w:val="выделение цвет"/>
    <w:basedOn w:val="15"/>
    <w:qFormat/>
    <w:rsid w:val="00de39d8"/>
    <w:pPr>
      <w:spacing w:lineRule="auto" w:line="360" w:before="0" w:after="0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TOCHeading">
    <w:name w:val="TOC Heading"/>
    <w:basedOn w:val="1"/>
    <w:next w:val="15"/>
    <w:uiPriority w:val="39"/>
    <w:semiHidden/>
    <w:unhideWhenUsed/>
    <w:qFormat/>
    <w:rsid w:val="00de39d8"/>
    <w:pPr>
      <w:keepLines/>
      <w:spacing w:lineRule="auto" w:line="276" w:before="480" w:after="0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27">
    <w:name w:val="TOC 2"/>
    <w:basedOn w:val="15"/>
    <w:next w:val="15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eastAsia="Times New Roman"/>
      <w:szCs w:val="20"/>
      <w:lang w:eastAsia="ru-RU"/>
    </w:rPr>
  </w:style>
  <w:style w:type="paragraph" w:styleId="32">
    <w:name w:val="TOC 3"/>
    <w:basedOn w:val="15"/>
    <w:next w:val="15"/>
    <w:autoRedefine/>
    <w:uiPriority w:val="39"/>
    <w:unhideWhenUsed/>
    <w:qFormat/>
    <w:rsid w:val="00de39d8"/>
    <w:pPr>
      <w:spacing w:before="0" w:after="100"/>
      <w:ind w:left="440" w:hanging="0"/>
    </w:pPr>
    <w:rPr>
      <w:rFonts w:ascii="Calibri" w:hAnsi="Calibri" w:eastAsia="Times New Roman"/>
      <w:lang w:eastAsia="ru-RU"/>
    </w:rPr>
  </w:style>
  <w:style w:type="paragraph" w:styleId="18" w:customStyle="1">
    <w:name w:val="!Заголовок-1"/>
    <w:basedOn w:val="1"/>
    <w:qFormat/>
    <w:rsid w:val="00de39d8"/>
    <w:pPr/>
    <w:rPr>
      <w:lang w:val="ru-RU"/>
    </w:rPr>
  </w:style>
  <w:style w:type="paragraph" w:styleId="28" w:customStyle="1">
    <w:name w:val="!заголовок-2"/>
    <w:basedOn w:val="2"/>
    <w:qFormat/>
    <w:rsid w:val="00de39d8"/>
    <w:pPr/>
    <w:rPr>
      <w:lang w:val="ru-RU"/>
    </w:rPr>
  </w:style>
  <w:style w:type="paragraph" w:styleId="Style37" w:customStyle="1">
    <w:name w:val="!Текст"/>
    <w:basedOn w:val="15"/>
    <w:qFormat/>
    <w:rsid w:val="00de39d8"/>
    <w:p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Style38" w:customStyle="1">
    <w:name w:val="!Синий заголовок текста"/>
    <w:basedOn w:val="Style36"/>
    <w:qFormat/>
    <w:rsid w:val="00de39d8"/>
    <w:pPr/>
    <w:rPr/>
  </w:style>
  <w:style w:type="paragraph" w:styleId="Style39" w:customStyle="1">
    <w:name w:val="!Список с точками"/>
    <w:basedOn w:val="15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ListParagraph">
    <w:name w:val="List Paragraph"/>
    <w:basedOn w:val="15"/>
    <w:uiPriority w:val="34"/>
    <w:qFormat/>
    <w:rsid w:val="00de39d8"/>
    <w:pPr>
      <w:spacing w:before="0" w:after="200"/>
      <w:ind w:left="720" w:hanging="0"/>
      <w:contextualSpacing/>
    </w:pPr>
    <w:rPr>
      <w:rFonts w:ascii="Calibri" w:hAnsi="Calibri" w:eastAsia="Calibri"/>
    </w:rPr>
  </w:style>
  <w:style w:type="paragraph" w:styleId="Annotationtext">
    <w:name w:val="annotation text"/>
    <w:basedOn w:val="15"/>
    <w:semiHidden/>
    <w:unhideWhenUsed/>
    <w:qFormat/>
    <w:rsid w:val="00de39d8"/>
    <w:pPr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Style26"/>
    <w:uiPriority w:val="1"/>
    <w:qFormat/>
    <w:rsid w:val="00de39d8"/>
    <w:pPr>
      <w:keepNext w:val="true"/>
      <w:numPr>
        <w:ilvl w:val="0"/>
        <w:numId w:val="4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15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NormalWeb">
    <w:name w:val="Normal (Web)"/>
    <w:basedOn w:val="15"/>
    <w:uiPriority w:val="99"/>
    <w:unhideWhenUsed/>
    <w:qFormat/>
    <w:rsid w:val="00124e57"/>
    <w:pPr>
      <w:spacing w:lineRule="auto" w:line="240" w:beforeAutospacing="1" w:afterAutospacing="1"/>
    </w:pPr>
    <w:rPr>
      <w:rFonts w:eastAsia="Times New Roman"/>
      <w:lang w:eastAsia="ru-RU"/>
    </w:rPr>
  </w:style>
  <w:style w:type="paragraph" w:styleId="Default" w:customStyle="1">
    <w:name w:val="Default"/>
    <w:qFormat/>
    <w:rsid w:val="00d04fb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261" w:customStyle="1">
    <w:name w:val="Основной текст (2)_6"/>
    <w:basedOn w:val="15"/>
    <w:link w:val="27"/>
    <w:qFormat/>
    <w:rsid w:val="00d2104e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Table Grid"/>
    <w:basedOn w:val="a3"/>
    <w:rsid w:val="00de39d8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B3DC3-0B74-4C38-973E-86420A2D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LibreOffice/7.1.8.1$Windows_X86_64 LibreOffice_project/e1f30c802c3269a1d052614453f260e49458c82c</Application>
  <AppVersion>15.0000</AppVersion>
  <Pages>18</Pages>
  <Words>2802</Words>
  <Characters>19342</Characters>
  <CharactersWithSpaces>21834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2023-04-05T08:06:00Z</dcterms:created>
  <dc:creator>Copyright ©«Ворлдскиллс Россия» (Экспедирование грузов)</dc:creator>
  <dc:description/>
  <dc:language>ru-RU</dc:language>
  <cp:lastModifiedBy/>
  <dcterms:modified xsi:type="dcterms:W3CDTF">2024-11-11T11:37:26Z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