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76" w:lineRule="auto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ОПИСАНИЕ КОМПЕТЕНЦИИ</w:t>
      </w:r>
      <w:r>
        <w:rPr>
          <w:rFonts w:ascii="Times New Roman" w:hAnsi="Times New Roman" w:cs="Times New Roman"/>
          <w:sz w:val="72"/>
          <w:szCs w:val="72"/>
        </w:rPr>
      </w:r>
    </w:p>
    <w:p>
      <w:pPr>
        <w:jc w:val="center"/>
        <w:spacing w:line="276" w:lineRule="auto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«ЛАБОРАТОРНЫЙ МЕДИЦИНСКИЙ АНАЛИЗ»</w:t>
      </w:r>
      <w:r>
        <w:rPr>
          <w:rFonts w:ascii="Times New Roman" w:hAnsi="Times New Roman" w:cs="Times New Roman"/>
          <w:sz w:val="72"/>
          <w:szCs w:val="72"/>
        </w:rPr>
      </w:r>
    </w:p>
    <w:p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Наименование компетенции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Лабораторный медицинский анализ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Формат участия в соревновании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: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индивидуальный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Описание компетенции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Сегодня лабораторная диагностика – это широкий спектр автоматизированных высокочувствительных методов, позволя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ющий оперативно получить достоверную информацию о состоянии внутренней среды пациента. Медицинский лабораторный техник клинико-диагностической, патологоанатомической, бактериологической, санитарно-гигиенической лабораторий выполняет исследования в соответс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твии с квалификационными требованиями. Подготавливает рабочее место, дезинфицирующие растворы, а также регистрирует поступающий в лабораторию биологический материал для исследования, с использованием современных информационных систем. Проводит обработку ма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териала и подготовку к исследованию, стерилизацию лабораторного инструментария в соответствии с действующими инструкциями, ведет необходимую медицинскую документацию. Соблюдает правила техники безопасности и производственной санитарии согласно требованиям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санитарноэпидемиологического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режима, участвует в контроле качества проводимых в лаборатории исследований. В современной динамично развивающейся среде медицинский лабораторный техник должен уметь работать как самостоятельно, так 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команде, обладать профессионализмом, гибкостью, критичностью мышления, ответственностью, умением устанавливать контакт с пациентами и коллегами, успешно оперировать знаниями технологии выполнения медицинских услуг, соответствующих гигиенических стандарто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в. Медицинский лабораторный техник должен обладать аналитическими и техническими знаниями и умениями, активно применять современные информационные технологии, уметь распределять время и организовывать свою работу в условиях высокой эмоциональной нагрузки.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keepNext/>
        <w:spacing w:after="0" w:line="240" w:lineRule="auto"/>
        <w:rPr>
          <w:rFonts w:ascii="Times New Roman" w:hAnsi="Times New Roman" w:eastAsia="Times New Roman" w:cs="Times New Roman"/>
          <w:b/>
          <w:caps/>
          <w:sz w:val="28"/>
          <w:szCs w:val="28"/>
        </w:rPr>
        <w:outlineLvl w:val="1"/>
      </w:pPr>
      <w:r/>
      <w:bookmarkStart w:id="0" w:name="_Toc123113308"/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Нормативные правовые акты</w:t>
      </w:r>
      <w:bookmarkEnd w:id="0"/>
      <w:r/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Поскольку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Описание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3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ФГОС СПО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Министерство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просвещения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Российской Федерации Федеральный государственный образовательный стандарт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среднего профессионального образования по специальности 31.02.03 Лабораторная диагностика (утв. </w:t>
      </w:r>
      <w:hyperlink r:id="rId10" w:tooltip="https://base.garant.ru/70734994/" w:history="1">
        <w:r>
          <w:rPr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приказом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 от 4 июля 2022 г. N 525)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3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Профессиональный</w:t>
      </w:r>
      <w:r>
        <w:rPr>
          <w:rFonts w:ascii="Times New Roman" w:hAnsi="Times New Roman"/>
          <w:sz w:val="28"/>
          <w:szCs w:val="28"/>
        </w:rPr>
        <w:t xml:space="preserve"> стандарт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Профессиональный стандарт</w:t>
      </w:r>
      <w:r>
        <w:rPr>
          <w:rFonts w:ascii="Times New Roman" w:hAnsi="Times New Roman" w:eastAsia="Calibri" w:cs="Times New Roman"/>
          <w:sz w:val="28"/>
          <w:szCs w:val="28"/>
        </w:rPr>
        <w:t xml:space="preserve"> 02.071 «Специалист в области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лабораторной диагностики со средним медицинским образованием» 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утв. </w:t>
      </w:r>
      <w:hyperlink r:id="rId11" w:tooltip="https://base.garant.ru/70734994/" w:history="1">
        <w:r>
          <w:rPr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приказом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Министерства труда и социальной защиты Российской Федерации от 31 июля 2020 года N 473н;</w:t>
      </w:r>
      <w:r>
        <w:rPr>
          <w:rFonts w:ascii="Verdana" w:hAnsi="Verdana" w:eastAsia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Зарегистрировано 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Министерстве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юстиции Российской Федерации 18 августа 2020 года, регистрационный N 59303)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3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ГОСТы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ОСТ 91500.13.0001-2003 отраслевой стандарт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Правила проведения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внутрилабораторного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контроля качества количественных методов клинических лабораторных исследований с использованием контрольных материалов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ГОСТ Р 52905-2007 (ИСО 15190:2003); Лаборатории медицинские. Требования безопасности. Настоящий стандарт устанавливает требования по формированию и поддержанию безопасной рабочей с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реды в медицинских лабораториях;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ГОСТ Р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53022.(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1-4)-2008; «Технологии лабор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аторные клинические. Требования к качеству клинических лабораторных исследований. Часть 4. Правила разработки требований к своевременности предоставления лабораторной информации», утвержден приказом Федерального агентства по техническому регулированию и ме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трологии от 18.12.2008 № 556-ст;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ГОСТ Р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53079.(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1-4)-2008; «Обеспечение качества клинических лабораторных исследований» Часть 4. Правила ведения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преаналитического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этапа», утвержден приказом Федерального агентства по техническому регулированию и метрологии от 18.12.2008 № 554-ст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ГОСТ Р 53.133.(1-4)-2008; «Контроль качества клинических лабораторных исследований»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ГОСТ Р ИСО 15189-2009; «Медицинские лаборатории. Особые требования к качеству и компетентности. Стандарты на методы контроля, испытаний, измерений и анализа» устанавливают требования к используемому оборудованию, условиям и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процедурам осуществления всех операций, обработке и представлению полученных результатов, квалификации персонала. Настоящий стандарт идентичен международному стандарту ИСО 15189:2007 «Лаборатории медицинские. Частные требования к качеству и компетентности»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ГОСТ Р ИСО 22870-2009 Исследования по месту лечения. Требования к качеству и компетентности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Национальный стандарт РФ ГОСТ Р ИСО 15189-2015. «Лаборатории медицинские. Частные требования к качеству»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Межгосу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дарственный стандарт ГОСТ ISO-6710-2011 «Контейнеры для сбора образцов венозной крови одноразовые. Технические требования и методы испытаний», введен в действие Приказом Федерального агентства по техническому регулированию и метрологии от 13.12.2011 № 1379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keepNext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  <w:outlineLvl w:val="1"/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Межгосударственный стандарт ГОСТ ISO-6710-2011 «Контейнеры для сбора образцов венозной крови одноразовые. Технические требования и методы испытаний», введен в действие Приказом Федерального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агентства по техническому регулированию и метрологии от 13.12.2011 № 1379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ind w:left="0" w:firstLine="709"/>
        <w:jc w:val="both"/>
        <w:keepNext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outlineLvl w:val="1"/>
      </w:pP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4.</w:t>
      </w:r>
      <w:r>
        <w:rPr>
          <w:rFonts w:ascii="Times New Roman" w:hAnsi="Times New Roman"/>
          <w:b/>
          <w:bCs/>
          <w:sz w:val="28"/>
          <w:szCs w:val="28"/>
        </w:rPr>
        <w:t xml:space="preserve"> СанПин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Сан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Пин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 СП 2.1.3678-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20.Санитарно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- 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 от 24.12.2020 №44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СанПиН 2.1.3684-21 «Санитарно-эпидемиологические требования к содержанию территорий городских и сельских поселений, к водным объектам,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питьевой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профилактических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) мероприятий»;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Профильные нормативные документы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Федеральный закон от 10 января 2002 г. N 7-ФЗ "Об охране окружающей среды" (с изменениями и дополнениями)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Федеральный закон от 30 марта 1999 г. N 52-ФЗ "О санитарно-эпидемиологическом благополучии населения"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(с изменениями и дополнениями);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Постановление Главного государственного санитарного врача РФ от 28 января 2021 г. N 4 "Об утверждении санитарных правил и норм СанПиН 3.3686-21 "Санитарно-эпидемиологические требования по профилактике инфекционных болезней" (с изменениями и дополнениями)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Постановление Правительства РФ от 30 июня 2004 г. N 322 "Об утверждении Положения о Федеральной службе по надзору в сфере защиты прав потребителей и благополучия человека" (с изменениями и дополнениями)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Приказ Министерства здравоохранения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РФ № 64 от 21. 02. 2000 «Об утверждении номенклатуры клинических лабораторных исследований»;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Приказ Министерства здравоохранения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РФ № 45 от 07.02.2000 “О системе мер по повышению качества клинических лабораторных исследований в у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чреждениях здравоохранения РФ”;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Приказ Министерства здравоохранения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России от 15.12. 2014 № 834н «Об утверждении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унифицированых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используемых в медицинских организациях, оказывающих медицинскую помощь в амбулаторных условиях, и порядков по их заполнению»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Приказ Министерства здравоохранения РФ от 13 октября 2017 г. N 804н "Об утверждении номенклатуры медицинских услуг" (с изменениями и дополнениями)</w:t>
      </w:r>
      <w:bookmarkStart w:id="1" w:name="text"/>
      <w:r/>
      <w:bookmarkEnd w:id="1"/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Приказ Министерства здравоохранения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РФ от 26.05.2003 № 220 "Об утверждении отраслевого стандарта "правила проведения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внутрилабораторного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контроля качества количественных методов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клинических лабораторных исследований с использованием контрольных материалов"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Приказ Министерства здравоохранения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России № 109 от 21. 03. 2003 г «О совершенствовании противотуберкулёзных мероприятий». (с изменениями на 5 июня 2017 года)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Приказ Министерства здравоохранения РФ от 6 июня 2013 г. N 354н "О порядке проведения патолого-анатомических вскрытий"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Приказ Минздрава России от 24 марта 2016 г. № 179н "О правилах проведения патолого-анатомических исследований" Зарегистрировано в Минюсте России от 14 апреля 2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016 г., регистрационный № 41799;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Приказ Министерства здравоохранения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России от 15.12. 2014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ПНД Ф 12.13.1-03 "Методические рекомендации. Техника безопасности при работе в аналитических лабораториях"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Приказ Минздрава России от 15.12. 2014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Методические указания МУ 4.2.2039-05 "Техника сбора и транспортирования биоматериалов в микробиологические лаборатории";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МУК 4.2.2942-11 Методы санитарно-бактериологических исследований объектов окружающей среды, воздуха и контроля стерильности в лечебных организациях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МУ-287-113 от 30.12.1998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Методические указания по дезинфекции, предстерилизационной очистке и стерилизации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изделий медицинского назначения;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Методы санитарно-бактериологических исследований объектов окружающей среды, воздуха и контроля стерильности в лечебных организациях: Методические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указания.—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М.: Федеральный центр гигиены и эпиде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миологии Роспотребнадзора, 2011;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СП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СП 1. 1. 1058-01 «Организация и проведение производственного контроля за соблюдением санитарных правил и выполнением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санитарнопротивоэпидемических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(профилактических) мероприятий»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СП 1.1.2193-07 Изменения и дополнения N 1 к санитарным правилам "Организация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СП 1.1.1058-01"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МР 3.5.1.0113 – 16 Использование перчаток для профилактики инфекций, связанных с оказанием медицинской помощи, в медицинских организациях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firstLine="709"/>
        <w:jc w:val="both"/>
        <w:keepNext/>
        <w:spacing w:after="0" w:line="276" w:lineRule="auto"/>
        <w:outlineLvl w:val="1"/>
      </w:pPr>
      <w:r/>
      <w:r/>
    </w:p>
    <w:p>
      <w:pPr>
        <w:ind w:firstLine="709"/>
        <w:jc w:val="both"/>
        <w:keepNext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Перечень профессиональных задач специалиста по компетенции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. </w:t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709"/>
        <w:jc w:val="both"/>
        <w:keepNext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  <w:outlineLvl w:val="1"/>
      </w:pPr>
      <w:r>
        <w:rPr>
          <w:rFonts w:ascii="Times New Roman" w:hAnsi="Times New Roman" w:eastAsia="Calibri" w:cs="Times New Roman"/>
          <w:i/>
          <w:sz w:val="28"/>
          <w:szCs w:val="28"/>
        </w:rPr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>
        <w:trPr/>
        <w:tc>
          <w:tcPr>
            <w:shd w:val="clear" w:color="auto" w:fill="92d050"/>
            <w:tcW w:w="529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  <w:t xml:space="preserve">№ п/п</w:t>
            </w: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</w:r>
          </w:p>
        </w:tc>
        <w:tc>
          <w:tcPr>
            <w:shd w:val="clear" w:color="auto" w:fill="92d050"/>
            <w:tcW w:w="4471" w:type="pct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  <w:t xml:space="preserve">*</w:t>
            </w: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  <w:t xml:space="preserve">Виды деятельности</w:t>
            </w: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  <w:t xml:space="preserve"> (ФГОС)</w:t>
            </w: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  <w:t xml:space="preserve">/</w:t>
            </w: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  <w:t xml:space="preserve">**</w:t>
            </w: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  <w:t xml:space="preserve">трудовые функции</w:t>
            </w: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  <w:t xml:space="preserve"> (ПС)</w:t>
            </w: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bfbfbf"/>
            <w:tcW w:w="529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4471" w:type="pc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Выполнение организационно-технологических и базовых лабораторных процедур при выполнении различных видов лабораторных исследований/ Взятие, прием, предварительная оценка и обработка биологических материалов, п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риготовление проб и препаратов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;  Обеспечение санитарно-противоэпидемического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режима медицинской лаборатории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Ведение медицинской документации, организация деятельности находящегося в рас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поряжении медицинского персонала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; Оказание медицинской помощи в экстренной форме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bfbfbf"/>
            <w:tcW w:w="529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4471" w:type="pc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Выполнение клинических лабораторных исследований первой и второй категории сложности/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Выполнение клинических лабораторных исследований; Ведение медицинской документации, организация деятельности находящегося в распоряжении медицинского персонала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bfbfbf"/>
            <w:tcW w:w="529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4471" w:type="pc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Выполнение микробиологических лабораторных исследований первой и второй категории сложности/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Выполнение клинических лабораторных исследований; Обеспечение санитарно-противоэпидемического режима медицинской лаборатории; Ведение медицинской документации, организация деятельности находящегося в распоряжении медицинского персонала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bfbfbf"/>
            <w:tcW w:w="529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4471" w:type="pc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Выполнение морфологических лабораторных исследований первой и второй категории сложности/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Выполнение клинических лабораторных исследований; Ведение медицинской документации, организация деятельности находящегося в распоряжении медицинского персонала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bfbfbf"/>
            <w:tcW w:w="529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4471" w:type="pc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Выполнение санитарно-эпидемиологических исследований/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Обеспечение санитарно-противоэпидемического режима медицинской лаборатории; Ведение медицинской документации, организация деятельности находящегося в распоряжении медицинского персонала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bfbfbf"/>
            <w:tcW w:w="529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4471" w:type="pc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Выполнение лабораторных и инструментальных исследований при производстве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судебномедицинских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экспертиз (исследований)/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Выполнение клинических лабораторных исследований; Ведение медицинской документации, организация деятельности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находящегося в распоряжении медицинского персонала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30308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496303619"/>
      <w:docPartObj>
        <w:docPartGallery w:val="Page Numbers (Bottom of Page)"/>
        <w:docPartUnique w:val="true"/>
      </w:docPartObj>
      <w:rPr/>
    </w:sdtPr>
    <w:sdtContent>
      <w:p>
        <w:pPr>
          <w:pStyle w:val="69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69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decimal"/>
      <w:isLgl/>
      <w:suff w:val="tab"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7"/>
    <w:link w:val="686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5"/>
    <w:next w:val="68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5"/>
    <w:next w:val="68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5"/>
    <w:next w:val="68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5"/>
    <w:next w:val="68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5"/>
    <w:next w:val="68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5"/>
    <w:next w:val="68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5"/>
    <w:next w:val="68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5"/>
    <w:next w:val="68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5"/>
    <w:next w:val="68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7"/>
    <w:link w:val="34"/>
    <w:uiPriority w:val="10"/>
    <w:rPr>
      <w:sz w:val="48"/>
      <w:szCs w:val="48"/>
    </w:rPr>
  </w:style>
  <w:style w:type="paragraph" w:styleId="36">
    <w:name w:val="Subtitle"/>
    <w:basedOn w:val="685"/>
    <w:next w:val="68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7"/>
    <w:link w:val="36"/>
    <w:uiPriority w:val="11"/>
    <w:rPr>
      <w:sz w:val="24"/>
      <w:szCs w:val="24"/>
    </w:rPr>
  </w:style>
  <w:style w:type="paragraph" w:styleId="38">
    <w:name w:val="Quote"/>
    <w:basedOn w:val="685"/>
    <w:next w:val="68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5"/>
    <w:next w:val="68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7"/>
    <w:link w:val="692"/>
    <w:uiPriority w:val="99"/>
  </w:style>
  <w:style w:type="character" w:styleId="45">
    <w:name w:val="Footer Char"/>
    <w:basedOn w:val="687"/>
    <w:link w:val="694"/>
    <w:uiPriority w:val="99"/>
  </w:style>
  <w:style w:type="paragraph" w:styleId="46">
    <w:name w:val="Caption"/>
    <w:basedOn w:val="685"/>
    <w:next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4"/>
    <w:uiPriority w:val="99"/>
  </w:style>
  <w:style w:type="table" w:styleId="48">
    <w:name w:val="Table Grid"/>
    <w:basedOn w:val="68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7"/>
    <w:uiPriority w:val="99"/>
    <w:unhideWhenUsed/>
    <w:rPr>
      <w:vertAlign w:val="superscript"/>
    </w:rPr>
  </w:style>
  <w:style w:type="paragraph" w:styleId="178">
    <w:name w:val="endnote text"/>
    <w:basedOn w:val="68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7"/>
    <w:uiPriority w:val="99"/>
    <w:semiHidden/>
    <w:unhideWhenUsed/>
    <w:rPr>
      <w:vertAlign w:val="superscript"/>
    </w:rPr>
  </w:style>
  <w:style w:type="paragraph" w:styleId="181">
    <w:name w:val="toc 1"/>
    <w:basedOn w:val="685"/>
    <w:next w:val="68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5"/>
    <w:next w:val="68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5"/>
    <w:next w:val="68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5"/>
    <w:next w:val="68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5"/>
    <w:next w:val="68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5"/>
    <w:next w:val="68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5"/>
    <w:next w:val="68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5"/>
    <w:next w:val="68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5"/>
    <w:next w:val="68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5"/>
    <w:next w:val="685"/>
    <w:uiPriority w:val="99"/>
    <w:unhideWhenUsed/>
    <w:pPr>
      <w:spacing w:after="0" w:afterAutospacing="0"/>
    </w:pPr>
  </w:style>
  <w:style w:type="paragraph" w:styleId="685" w:default="1">
    <w:name w:val="Normal"/>
    <w:qFormat/>
  </w:style>
  <w:style w:type="paragraph" w:styleId="686">
    <w:name w:val="Heading 1"/>
    <w:basedOn w:val="685"/>
    <w:next w:val="685"/>
    <w:link w:val="696"/>
    <w:uiPriority w:val="9"/>
    <w:qFormat/>
    <w:pPr>
      <w:keepLines/>
      <w:keepNext/>
      <w:spacing w:before="480" w:after="0" w:line="276" w:lineRule="auto"/>
      <w:outlineLvl w:val="0"/>
    </w:pPr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  <w:lang w:eastAsia="ru-RU"/>
    </w:rPr>
  </w:style>
  <w:style w:type="character" w:styleId="687" w:default="1">
    <w:name w:val="Default Paragraph Font"/>
    <w:uiPriority w:val="1"/>
    <w:semiHidden/>
    <w:unhideWhenUsed/>
  </w:style>
  <w:style w:type="table" w:styleId="6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9" w:default="1">
    <w:name w:val="No List"/>
    <w:uiPriority w:val="99"/>
    <w:semiHidden/>
    <w:unhideWhenUsed/>
  </w:style>
  <w:style w:type="paragraph" w:styleId="690">
    <w:name w:val="List Paragraph"/>
    <w:basedOn w:val="685"/>
    <w:link w:val="691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</w:rPr>
  </w:style>
  <w:style w:type="character" w:styleId="691" w:customStyle="1">
    <w:name w:val="Абзац списка Знак"/>
    <w:basedOn w:val="687"/>
    <w:link w:val="690"/>
    <w:uiPriority w:val="34"/>
    <w:rPr>
      <w:rFonts w:ascii="Calibri" w:hAnsi="Calibri" w:eastAsia="Calibri" w:cs="Times New Roman"/>
    </w:rPr>
  </w:style>
  <w:style w:type="paragraph" w:styleId="692">
    <w:name w:val="Header"/>
    <w:basedOn w:val="685"/>
    <w:link w:val="69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3" w:customStyle="1">
    <w:name w:val="Верхний колонтитул Знак"/>
    <w:basedOn w:val="687"/>
    <w:link w:val="692"/>
    <w:uiPriority w:val="99"/>
  </w:style>
  <w:style w:type="paragraph" w:styleId="694">
    <w:name w:val="Footer"/>
    <w:basedOn w:val="685"/>
    <w:link w:val="69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5" w:customStyle="1">
    <w:name w:val="Нижний колонтитул Знак"/>
    <w:basedOn w:val="687"/>
    <w:link w:val="694"/>
    <w:uiPriority w:val="99"/>
  </w:style>
  <w:style w:type="character" w:styleId="696" w:customStyle="1">
    <w:name w:val="Заголовок 1 Знак"/>
    <w:basedOn w:val="687"/>
    <w:link w:val="686"/>
    <w:uiPriority w:val="9"/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  <w:lang w:eastAsia="ru-RU"/>
    </w:rPr>
  </w:style>
  <w:style w:type="character" w:styleId="697">
    <w:name w:val="Hyperlink"/>
    <w:basedOn w:val="687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base.garant.ru/70734994/" TargetMode="External"/><Relationship Id="rId11" Type="http://schemas.openxmlformats.org/officeDocument/2006/relationships/hyperlink" Target="https://base.garant.ru/70734994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Румия Галимова</cp:lastModifiedBy>
  <cp:revision>31</cp:revision>
  <dcterms:created xsi:type="dcterms:W3CDTF">2023-01-11T11:48:00Z</dcterms:created>
  <dcterms:modified xsi:type="dcterms:W3CDTF">2023-10-26T11:37:49Z</dcterms:modified>
</cp:coreProperties>
</file>