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36"/>
        <w:gridCol w:w="4203"/>
        <w:tblGridChange w:id="0">
          <w:tblGrid>
            <w:gridCol w:w="5436"/>
            <w:gridCol w:w="42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3305175" cy="1285875"/>
                  <wp:effectExtent b="0" l="0" r="0" t="0"/>
                  <wp:docPr id="353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1285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360" w:lineRule="auto"/>
              <w:ind w:left="29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ПЛАН ЗАСТРОЙКИ</w:t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по компетенции «Обслуживание и ремонт вагонов»</w:t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36"/>
          <w:szCs w:val="36"/>
          <w:rtl w:val="0"/>
        </w:rPr>
        <w:t xml:space="preserve">Региональный этап чемпионата по профессиональному мастерству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«Профессионалы»</w:t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Новосибирская область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2025 г.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ЗАСТРОЙКИ ПЛОЩАДКИ КОМПЕТЕНЦИИ «ОБСЛУЖИВАНИЕ И РЕМОНТ ВАГОНОВ»</w:t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проведения чемпионата по компетенции «Обслуживание и ремонт вагонов» используется 5 площадок, учитывая специфику конкурсных заданий:</w:t>
      </w:r>
    </w:p>
    <w:p w:rsidR="00000000" w:rsidDel="00000000" w:rsidP="00000000" w:rsidRDefault="00000000" w:rsidRPr="00000000" w14:paraId="0000002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1 (брифинг зона, комната экспертов) – для проведения жеребьёвки, церемонии открытия/закрытия чемпионата, разрешения конфликтных ситуаций, оказания первой помощи пострадавшим при несчастном случае, проведения оценки внешнего вида, для проведения инструктажа экспертов, обучение экспертов правилам проведения оценивания участников. Схема площадки № 1 приведена на рисунке 1;</w:t>
      </w:r>
    </w:p>
    <w:p w:rsidR="00000000" w:rsidDel="00000000" w:rsidP="00000000" w:rsidRDefault="00000000" w:rsidRPr="00000000" w14:paraId="0000002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2 (комната участников) – для проведения инструктажа участников, подготовки к выполнению заданий и отдыха участников между выполнением модулей. Схема площадки № 2 приведена на рисунке 2;</w:t>
      </w:r>
    </w:p>
    <w:p w:rsidR="00000000" w:rsidDel="00000000" w:rsidP="00000000" w:rsidRDefault="00000000" w:rsidRPr="00000000" w14:paraId="0000002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3 (Комната для работы с технической документацией) – для выполнения задания по разработке технической документации. Схема площадки № 3 приведена на рисунке 3; </w:t>
      </w:r>
    </w:p>
    <w:p w:rsidR="00000000" w:rsidDel="00000000" w:rsidP="00000000" w:rsidRDefault="00000000" w:rsidRPr="00000000" w14:paraId="00000024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4 (Слесарный кабинет) – для проведения работ по ремонту, обслуживанию деталей вагона, экипировки участников перед выходом на пути. Схема площадки № 4 приведена на рисунке 4.</w:t>
      </w:r>
    </w:p>
    <w:p w:rsidR="00000000" w:rsidDel="00000000" w:rsidP="00000000" w:rsidRDefault="00000000" w:rsidRPr="00000000" w14:paraId="00000025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площадка № 5 (Полигон) – для выполнения заданий по осмотру платформы, поиска неисправностей подвагонного оборудования, проведения замеров элементов ходовой части, использования шаблонов для проверки автосцепки, Схема площадки № 5 приведена на рисунке 5.</w:t>
      </w:r>
    </w:p>
    <w:p w:rsidR="00000000" w:rsidDel="00000000" w:rsidP="00000000" w:rsidRDefault="00000000" w:rsidRPr="00000000" w14:paraId="00000026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  <w:sectPr>
          <w:footerReference r:id="rId10" w:type="first"/>
          <w:pgSz w:h="16840" w:w="11900" w:orient="portrait"/>
          <w:pgMar w:bottom="1134" w:top="1134" w:left="1701" w:right="850" w:header="708" w:footer="708"/>
          <w:pgNumType w:start="1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Размеры площадок, количество и типы вагонов определены в зависимости от количества участников чемпионата и местных условий.</w:t>
      </w:r>
    </w:p>
    <w:p w:rsidR="00000000" w:rsidDel="00000000" w:rsidP="00000000" w:rsidRDefault="00000000" w:rsidRPr="00000000" w14:paraId="00000027">
      <w:pPr>
        <w:ind w:firstLine="709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1 -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СХЕМА ПЛОЩАДКИ № 1 (Брифинг зона, комната экспертов)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076825" cy="5815330"/>
            <wp:effectExtent b="0" l="0" r="0" t="0"/>
            <wp:docPr id="356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8153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Условные обозначения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127000</wp:posOffset>
                </wp:positionV>
                <wp:extent cx="2393315" cy="1423035"/>
                <wp:effectExtent b="0" l="0" r="0" t="0"/>
                <wp:wrapNone/>
                <wp:docPr id="341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Белая доска для проектора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Шкаф двухстворчатый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- урна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127000</wp:posOffset>
                </wp:positionV>
                <wp:extent cx="2393315" cy="1423035"/>
                <wp:effectExtent b="0" l="0" r="0" t="0"/>
                <wp:wrapNone/>
                <wp:docPr id="34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315" cy="1423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3525" cy="314325"/>
            <wp:effectExtent b="0" l="0" r="0" t="0"/>
            <wp:docPr id="35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Принтер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pict>
          <v:shape id="_x0000_i1025" style="width:33.75pt;height:16.5pt;visibility:visible;mso-wrap-style:square" type="#_x0000_t75">
            <v:imagedata r:id="rId1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Компьютер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26695" cy="431800"/>
            <wp:effectExtent b="0" l="0" r="0" t="0"/>
            <wp:docPr id="35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Сканер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61010" cy="351155"/>
            <wp:effectExtent b="0" l="0" r="0" t="0"/>
            <wp:docPr id="35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351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Проектор</w:t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00075" cy="914400"/>
            <wp:effectExtent b="0" l="0" r="0" t="0"/>
            <wp:docPr id="35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Стол с компьютером и креслом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2 – СХЕМА ПЛОЩАДКИ № 2 (Комната участников)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3714750" cy="5319095"/>
            <wp:effectExtent b="0" l="0" r="0" t="0"/>
            <wp:docPr id="36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3190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Условные обозначения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3525" cy="314325"/>
            <wp:effectExtent b="0" l="0" r="0" t="0"/>
            <wp:docPr id="36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Принтер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2393315" cy="1423035"/>
                <wp:effectExtent b="0" l="0" r="0" t="0"/>
                <wp:wrapNone/>
                <wp:docPr id="340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Белая доска для проектора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Шкаф двухстворчатый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- урна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2393315" cy="1423035"/>
                <wp:effectExtent b="0" l="0" r="0" t="0"/>
                <wp:wrapNone/>
                <wp:docPr id="34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315" cy="1423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1800" cy="212090"/>
            <wp:effectExtent b="0" l="0" r="0" t="0"/>
            <wp:docPr id="363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12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Компьютер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26695" cy="431800"/>
            <wp:effectExtent b="0" l="0" r="0" t="0"/>
            <wp:docPr id="36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Сканер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61010" cy="351155"/>
            <wp:effectExtent b="0" l="0" r="0" t="0"/>
            <wp:docPr id="36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351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Проектор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00075" cy="914400"/>
            <wp:effectExtent b="0" l="0" r="0" t="0"/>
            <wp:docPr id="36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Стол с компьютером и креслом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1002030" cy="534035"/>
            <wp:effectExtent b="0" l="0" r="0" t="0"/>
            <wp:docPr id="36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534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Парта ученическая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3 – СХЕМА ПЛОЩАДКИ № 3 (Комната для работы с технической документацией)</w:t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5591175" cy="3638550"/>
            <wp:effectExtent b="0" l="0" r="0" t="0"/>
            <wp:docPr id="37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638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Условные обозначения</w:t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3525" cy="314325"/>
            <wp:effectExtent b="0" l="0" r="0" t="0"/>
            <wp:docPr id="36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Принтер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2393315" cy="1423035"/>
                <wp:effectExtent b="0" l="0" r="0" t="0"/>
                <wp:wrapNone/>
                <wp:docPr id="343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Белая доска для проектора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Шкаф двухстворчатый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- урна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- Тренажерный комплекс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2393315" cy="1423035"/>
                <wp:effectExtent b="0" l="0" r="0" t="0"/>
                <wp:wrapNone/>
                <wp:docPr id="343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315" cy="1423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1800" cy="212090"/>
            <wp:effectExtent b="0" l="0" r="0" t="0"/>
            <wp:docPr id="36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12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Компьютер</w:t>
      </w:r>
    </w:p>
    <w:p w:rsidR="00000000" w:rsidDel="00000000" w:rsidP="00000000" w:rsidRDefault="00000000" w:rsidRPr="00000000" w14:paraId="0000003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26695" cy="431800"/>
            <wp:effectExtent b="0" l="0" r="0" t="0"/>
            <wp:docPr id="36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" cy="43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Сканер</w:t>
      </w:r>
    </w:p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61010" cy="351155"/>
            <wp:effectExtent b="0" l="0" r="0" t="0"/>
            <wp:docPr id="37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351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Проектор</w:t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00075" cy="914400"/>
            <wp:effectExtent b="0" l="0" r="0" t="0"/>
            <wp:docPr id="37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Стол с компьютером и креслом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1002030" cy="534035"/>
            <wp:effectExtent b="0" l="0" r="0" t="0"/>
            <wp:docPr id="34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534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Парта ученическая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4 – СХЕМА ПЛОЩАДКИ № 4 (Слесарная мастерская)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0" distT="0" distL="0" distR="0">
            <wp:extent cx="2801620" cy="4725670"/>
            <wp:effectExtent b="0" l="0" r="0" t="0"/>
            <wp:docPr id="34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47256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Условные обозначения</w:t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63525" cy="314325"/>
            <wp:effectExtent b="0" l="0" r="0" t="0"/>
            <wp:docPr id="34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314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Принтер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2393315" cy="1423035"/>
                <wp:effectExtent b="0" l="0" r="0" t="0"/>
                <wp:wrapNone/>
                <wp:docPr id="342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Белая доска для проектора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Шкаф двухстворчатый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- урна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- Тренажерный комплекс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3035300</wp:posOffset>
                </wp:positionH>
                <wp:positionV relativeFrom="paragraph">
                  <wp:posOffset>0</wp:posOffset>
                </wp:positionV>
                <wp:extent cx="2393315" cy="1423035"/>
                <wp:effectExtent b="0" l="0" r="0" t="0"/>
                <wp:wrapNone/>
                <wp:docPr id="34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3315" cy="14230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drawing>
          <wp:inline distB="0" distT="0" distL="0" distR="0">
            <wp:extent cx="431800" cy="212090"/>
            <wp:effectExtent b="0" l="0" r="0" t="0"/>
            <wp:docPr id="34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12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Компьютер</w:t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461010" cy="351155"/>
            <wp:effectExtent b="0" l="0" r="0" t="0"/>
            <wp:docPr id="34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010" cy="3511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Проектор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21945" cy="263525"/>
            <wp:effectExtent b="0" l="0" r="0" t="0"/>
            <wp:docPr id="34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1945" cy="263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Стол с компьютером и креслом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255905" cy="402590"/>
            <wp:effectExtent b="0" l="0" r="0" t="0"/>
            <wp:docPr id="35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905" cy="402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Верстак слесарный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/>
        <w:pict>
          <v:shape id="_x0000_i1026" style="width:21.75pt;height:12.75pt;visibility:visible;mso-wrap-style:square" type="#_x0000_t75">
            <v:imagedata r:id="rId2" o:title=""/>
          </v:shape>
        </w:pic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Шкафы одностворчатые</w:t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307340" cy="241300"/>
            <wp:effectExtent b="0" l="0" r="0" t="0"/>
            <wp:docPr id="35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40" cy="24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- Сверлильный станок</w:t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РИСУНОК 5 – СХЕМА ПЛОЩАДКИ № 5 (Полигон)</w:t>
      </w:r>
    </w:p>
    <w:p w:rsidR="00000000" w:rsidDel="00000000" w:rsidP="00000000" w:rsidRDefault="00000000" w:rsidRPr="00000000" w14:paraId="00000050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6473825" cy="3189605"/>
            <wp:effectExtent b="0" l="0" r="0" t="0"/>
            <wp:docPr id="35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31896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40" w:w="11900" w:orient="portrait"/>
      <w:pgMar w:bottom="1134" w:top="1134" w:left="850" w:right="843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7532276</wp:posOffset>
          </wp:positionH>
          <wp:positionV relativeFrom="paragraph">
            <wp:posOffset>14864</wp:posOffset>
          </wp:positionV>
          <wp:extent cx="952500" cy="687070"/>
          <wp:effectExtent b="0" l="0" r="0" t="0"/>
          <wp:wrapNone/>
          <wp:docPr id="355" name="image12.png"/>
          <a:graphic>
            <a:graphicData uri="http://schemas.openxmlformats.org/drawingml/2006/picture">
              <pic:pic>
                <pic:nvPicPr>
                  <pic:cNvPr id="0" name="image12.png"/>
                  <pic:cNvPicPr preferRelativeResize="0"/>
                </pic:nvPicPr>
                <pic:blipFill>
                  <a:blip r:embed="rId3"/>
                  <a:srcRect b="0" l="0" r="35286" t="0"/>
                  <a:stretch>
                    <a:fillRect/>
                  </a:stretch>
                </pic:blipFill>
                <pic:spPr>
                  <a:xfrm>
                    <a:off x="0" y="0"/>
                    <a:ext cx="952500" cy="68707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067C8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header"/>
    <w:basedOn w:val="a"/>
    <w:link w:val="a5"/>
    <w:uiPriority w:val="99"/>
    <w:unhideWhenUsed w:val="1"/>
    <w:rsid w:val="00CC7BFC"/>
    <w:pPr>
      <w:tabs>
        <w:tab w:val="center" w:pos="4677"/>
        <w:tab w:val="right" w:pos="9355"/>
      </w:tabs>
    </w:pPr>
  </w:style>
  <w:style w:type="character" w:styleId="a5" w:customStyle="1">
    <w:name w:val="Верхний колонтитул Знак"/>
    <w:basedOn w:val="a0"/>
    <w:link w:val="a4"/>
    <w:uiPriority w:val="99"/>
    <w:rsid w:val="00CC7BFC"/>
  </w:style>
  <w:style w:type="paragraph" w:styleId="a6">
    <w:name w:val="footer"/>
    <w:basedOn w:val="a"/>
    <w:link w:val="a7"/>
    <w:uiPriority w:val="99"/>
    <w:unhideWhenUsed w:val="1"/>
    <w:rsid w:val="00CC7BFC"/>
    <w:pPr>
      <w:tabs>
        <w:tab w:val="center" w:pos="4677"/>
        <w:tab w:val="right" w:pos="9355"/>
      </w:tabs>
    </w:pPr>
  </w:style>
  <w:style w:type="character" w:styleId="a7" w:customStyle="1">
    <w:name w:val="Нижний колонтитул Знак"/>
    <w:basedOn w:val="a0"/>
    <w:link w:val="a6"/>
    <w:uiPriority w:val="99"/>
    <w:rsid w:val="00CC7BFC"/>
  </w:style>
  <w:style w:type="paragraph" w:styleId="a8">
    <w:name w:val="Balloon Text"/>
    <w:basedOn w:val="a"/>
    <w:link w:val="a9"/>
    <w:uiPriority w:val="99"/>
    <w:semiHidden w:val="1"/>
    <w:unhideWhenUsed w:val="1"/>
    <w:rsid w:val="007727F9"/>
    <w:rPr>
      <w:rFonts w:ascii="Tahoma" w:cs="Tahoma" w:hAnsi="Tahoma"/>
      <w:sz w:val="16"/>
      <w:szCs w:val="16"/>
    </w:rPr>
  </w:style>
  <w:style w:type="character" w:styleId="a9" w:customStyle="1">
    <w:name w:val="Текст выноски Знак"/>
    <w:basedOn w:val="a0"/>
    <w:link w:val="a8"/>
    <w:uiPriority w:val="99"/>
    <w:semiHidden w:val="1"/>
    <w:rsid w:val="007727F9"/>
    <w:rPr>
      <w:rFonts w:ascii="Tahoma" w:cs="Tahoma" w:hAnsi="Tahoma"/>
      <w:sz w:val="16"/>
      <w:szCs w:val="16"/>
    </w:rPr>
  </w:style>
  <w:style w:type="paragraph" w:styleId="aa">
    <w:name w:val="List Paragraph"/>
    <w:basedOn w:val="a"/>
    <w:uiPriority w:val="34"/>
    <w:qFormat w:val="1"/>
    <w:rsid w:val="00FF1DE5"/>
    <w:pPr>
      <w:ind w:left="720"/>
      <w:contextualSpacing w:val="1"/>
    </w:pPr>
  </w:style>
  <w:style w:type="paragraph" w:styleId="ab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ac">
    <w:name w:val="Body Text"/>
    <w:basedOn w:val="a"/>
    <w:link w:val="ad"/>
    <w:uiPriority w:val="1"/>
    <w:unhideWhenUsed w:val="1"/>
    <w:qFormat w:val="1"/>
    <w:rsid w:val="00A20CD3"/>
    <w:pPr>
      <w:widowControl w:val="0"/>
      <w:autoSpaceDE w:val="0"/>
      <w:autoSpaceDN w:val="0"/>
    </w:pPr>
    <w:rPr>
      <w:rFonts w:ascii="Times New Roman" w:cs="Times New Roman" w:eastAsia="Times New Roman" w:hAnsi="Times New Roman"/>
      <w:sz w:val="28"/>
      <w:szCs w:val="28"/>
      <w:lang w:eastAsia="en-US"/>
    </w:rPr>
  </w:style>
  <w:style w:type="character" w:styleId="ad" w:customStyle="1">
    <w:name w:val="Основной текст Знак"/>
    <w:basedOn w:val="a0"/>
    <w:link w:val="ac"/>
    <w:uiPriority w:val="1"/>
    <w:rsid w:val="00A20CD3"/>
    <w:rPr>
      <w:rFonts w:ascii="Times New Roman" w:cs="Times New Roman" w:eastAsia="Times New Roman" w:hAnsi="Times New Roman"/>
      <w:sz w:val="28"/>
      <w:szCs w:val="28"/>
      <w:lang w:eastAsia="en-US"/>
    </w:rPr>
  </w:style>
  <w:style w:type="table" w:styleId="ae">
    <w:name w:val="Table Grid"/>
    <w:basedOn w:val="a1"/>
    <w:uiPriority w:val="39"/>
    <w:rsid w:val="00A20CD3"/>
    <w:pPr>
      <w:widowControl w:val="0"/>
      <w:autoSpaceDE w:val="0"/>
      <w:autoSpaceDN w:val="0"/>
    </w:pPr>
    <w:rPr>
      <w:rFonts w:asciiTheme="minorHAnsi" w:cstheme="minorBidi" w:eastAsiaTheme="minorHAnsi" w:hAnsiTheme="minorHAnsi"/>
      <w:sz w:val="22"/>
      <w:szCs w:val="22"/>
      <w:lang w:eastAsia="en-US"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8.png"/><Relationship Id="rId22" Type="http://schemas.openxmlformats.org/officeDocument/2006/relationships/image" Target="media/image19.png"/><Relationship Id="rId21" Type="http://schemas.openxmlformats.org/officeDocument/2006/relationships/image" Target="media/image13.png"/><Relationship Id="rId24" Type="http://schemas.openxmlformats.org/officeDocument/2006/relationships/image" Target="media/image17.png"/><Relationship Id="rId23" Type="http://schemas.openxmlformats.org/officeDocument/2006/relationships/image" Target="media/image11.png"/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2.png"/><Relationship Id="rId26" Type="http://schemas.openxmlformats.org/officeDocument/2006/relationships/image" Target="media/image18.png"/><Relationship Id="rId25" Type="http://schemas.openxmlformats.org/officeDocument/2006/relationships/image" Target="media/image10.png"/><Relationship Id="rId28" Type="http://schemas.openxmlformats.org/officeDocument/2006/relationships/image" Target="media/image5.png"/><Relationship Id="rId27" Type="http://schemas.openxmlformats.org/officeDocument/2006/relationships/image" Target="media/image20.png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Relationship Id="rId11" Type="http://schemas.openxmlformats.org/officeDocument/2006/relationships/image" Target="media/image9.png"/><Relationship Id="rId10" Type="http://schemas.openxmlformats.org/officeDocument/2006/relationships/footer" Target="footer1.xml"/><Relationship Id="rId13" Type="http://schemas.openxmlformats.org/officeDocument/2006/relationships/image" Target="media/image6.png"/><Relationship Id="rId12" Type="http://schemas.openxmlformats.org/officeDocument/2006/relationships/image" Target="media/image16.png"/><Relationship Id="rId15" Type="http://schemas.openxmlformats.org/officeDocument/2006/relationships/image" Target="media/image3.png"/><Relationship Id="rId14" Type="http://schemas.openxmlformats.org/officeDocument/2006/relationships/image" Target="media/image7.png"/><Relationship Id="rId17" Type="http://schemas.openxmlformats.org/officeDocument/2006/relationships/image" Target="media/image15.png"/><Relationship Id="rId16" Type="http://schemas.openxmlformats.org/officeDocument/2006/relationships/image" Target="media/image4.png"/><Relationship Id="rId19" Type="http://schemas.openxmlformats.org/officeDocument/2006/relationships/image" Target="media/image21.png"/><Relationship Id="rId18" Type="http://schemas.openxmlformats.org/officeDocument/2006/relationships/image" Target="media/image14.png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3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D80p/Kdjfmd4earIEM3zYs/dPQ==">CgMxLjAyCWguMzBqMHpsbDIIaC5namRneHM4AHIhMTNHOXB2S3pUQ0d3dXJNbFZyY3ExQW40ZmlhSThfQlBs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2023-02-08T03:38:00Z</dcterms:created>
  <dc:creator>Copyright © Союз «Ворлдсклиис Россия»                  (Название компетенции)</dc:creator>
</cp:coreProperties>
</file>